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1"/>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9部分：贮藏"/>
            </w:textInput>
          </w:ffData>
        </w:fldChar>
      </w:r>
      <w:bookmarkStart w:id="9" w:name="CSTD_NAME"/>
      <w:r>
        <w:instrText xml:space="preserve"> FORMTEXT </w:instrText>
      </w:r>
      <w:r>
        <w:fldChar w:fldCharType="separate"/>
      </w:r>
      <w:r>
        <w:t>猕猴桃生产 第9部分：贮藏</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4" w:type="first"/>
          <w:footerReference r:id="rId6" w:type="first"/>
          <w:headerReference r:id="rId3" w:type="default"/>
          <w:footerReference r:id="rId5"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本文件起草单位：陕西省果业中心、西北农林科技大学、眉县农业农村局、陕西幸福现代农业科技有限公司、杨凌梦绿生态农业有限责任公司。</w:t>
      </w:r>
      <w:bookmarkStart w:id="52" w:name="_GoBack"/>
      <w:bookmarkEnd w:id="52"/>
    </w:p>
    <w:p>
      <w:pPr>
        <w:pStyle w:val="62"/>
        <w:ind w:firstLine="420"/>
      </w:pPr>
      <w:r>
        <w:rPr>
          <w:rFonts w:hint="eastAsia"/>
        </w:rPr>
        <w:t>本文件主要起草人：</w:t>
      </w:r>
      <w:r>
        <w:rPr>
          <w:rFonts w:hint="eastAsia"/>
          <w:lang w:eastAsia="zh-CN"/>
        </w:rPr>
        <w:t>杨建伟、</w:t>
      </w:r>
      <w:r>
        <w:rPr>
          <w:rFonts w:hint="eastAsia"/>
        </w:rPr>
        <w:t>刘占德、刘艳飞、王胜虎、贺浩浩、王希良、任小林、屈学农、姚春潮、索江涛、高志雄。</w:t>
      </w:r>
    </w:p>
    <w:p>
      <w:pPr>
        <w:pStyle w:val="62"/>
        <w:ind w:firstLine="420"/>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3" w:name="NEW_STAND_NAME"/>
          <w:r>
            <w:rPr>
              <w:rFonts w:hint="eastAsia"/>
            </w:rPr>
            <w:t>猕猴桃生产 第</w:t>
          </w:r>
          <w:r>
            <w:t>9</w:t>
          </w:r>
          <w:r>
            <w:rPr>
              <w:rFonts w:hint="eastAsia"/>
            </w:rPr>
            <w:t>部分：贮藏</w:t>
          </w:r>
        </w:p>
      </w:sdtContent>
    </w:sdt>
    <w:bookmarkEnd w:id="23"/>
    <w:p>
      <w:pPr>
        <w:pStyle w:val="109"/>
        <w:spacing w:before="312" w:after="312"/>
      </w:pPr>
      <w:bookmarkStart w:id="24" w:name="_Toc24884218"/>
      <w:bookmarkStart w:id="25" w:name="_Toc26986771"/>
      <w:bookmarkStart w:id="26" w:name="_Toc26986530"/>
      <w:bookmarkStart w:id="27" w:name="_Toc17233325"/>
      <w:bookmarkStart w:id="28" w:name="_Toc26718930"/>
      <w:bookmarkStart w:id="29" w:name="_Toc26648465"/>
      <w:bookmarkStart w:id="30" w:name="_Toc24884211"/>
      <w:bookmarkStart w:id="31" w:name="_Toc17233333"/>
      <w:bookmarkStart w:id="32" w:name="_Toc97191423"/>
      <w:r>
        <w:rPr>
          <w:rFonts w:hint="eastAsia"/>
        </w:rPr>
        <w:t>范围</w:t>
      </w:r>
      <w:bookmarkEnd w:id="24"/>
      <w:bookmarkEnd w:id="25"/>
      <w:bookmarkEnd w:id="26"/>
      <w:bookmarkEnd w:id="27"/>
      <w:bookmarkEnd w:id="28"/>
      <w:bookmarkEnd w:id="29"/>
      <w:bookmarkEnd w:id="30"/>
      <w:bookmarkEnd w:id="31"/>
      <w:bookmarkEnd w:id="32"/>
    </w:p>
    <w:p>
      <w:pPr>
        <w:pStyle w:val="62"/>
        <w:ind w:firstLine="420"/>
      </w:pPr>
      <w:bookmarkStart w:id="33" w:name="_Toc24884219"/>
      <w:bookmarkStart w:id="34" w:name="_Toc26648466"/>
      <w:bookmarkStart w:id="35" w:name="_Toc17233334"/>
      <w:bookmarkStart w:id="36" w:name="_Toc17233326"/>
      <w:bookmarkStart w:id="37" w:name="_Toc24884212"/>
      <w:r>
        <w:rPr>
          <w:rFonts w:hint="eastAsia"/>
        </w:rPr>
        <w:t>本文件规定了猕猴桃鲜果贮藏的原料果实、商品化处理、入库前准备、入库贮藏、贮藏管理、运输、检验及试验方法等的要求。</w:t>
      </w:r>
    </w:p>
    <w:p>
      <w:pPr>
        <w:pStyle w:val="62"/>
        <w:ind w:firstLine="420"/>
      </w:pPr>
      <w:r>
        <w:rPr>
          <w:rFonts w:hint="eastAsia"/>
        </w:rPr>
        <w:t>本文件适用于中华猕猴桃和美味猕猴桃的鲜果贮藏。</w:t>
      </w:r>
    </w:p>
    <w:p>
      <w:pPr>
        <w:pStyle w:val="109"/>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bookmarkStart w:id="42" w:name="_Hlk188382920"/>
      <w:bookmarkStart w:id="43" w:name="_Toc97191425"/>
      <w:r>
        <w:rPr>
          <w:rFonts w:hint="eastAsia" w:ascii="Times New Roman" w:hAnsi="Times New Roman"/>
          <w:kern w:val="0"/>
          <w:szCs w:val="20"/>
        </w:rPr>
        <w:t>G</w:t>
      </w:r>
      <w:r>
        <w:rPr>
          <w:rFonts w:ascii="Times New Roman" w:hAnsi="Times New Roman"/>
          <w:kern w:val="0"/>
          <w:szCs w:val="20"/>
        </w:rPr>
        <w:t>B 14881</w:t>
      </w:r>
      <w:bookmarkEnd w:id="42"/>
      <w:r>
        <w:rPr>
          <w:rFonts w:ascii="Times New Roman" w:hAnsi="Times New Roman"/>
          <w:kern w:val="0"/>
          <w:szCs w:val="20"/>
        </w:rPr>
        <w:t xml:space="preserve"> </w:t>
      </w:r>
      <w:r>
        <w:rPr>
          <w:rFonts w:hint="eastAsia" w:ascii="Times New Roman" w:hAnsi="Times New Roman"/>
          <w:kern w:val="0"/>
          <w:szCs w:val="20"/>
        </w:rPr>
        <w:t>《食品安全国家标准 食品生产通用卫生规范》</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bookmarkStart w:id="44" w:name="_Hlk188382927"/>
      <w:r>
        <w:rPr>
          <w:rFonts w:ascii="Times New Roman" w:hAnsi="Times New Roman"/>
          <w:kern w:val="0"/>
          <w:szCs w:val="20"/>
        </w:rPr>
        <w:t>NY/T 1392</w:t>
      </w:r>
      <w:bookmarkEnd w:id="44"/>
      <w:r>
        <w:rPr>
          <w:rFonts w:ascii="Times New Roman" w:hAnsi="Times New Roman"/>
          <w:kern w:val="0"/>
          <w:szCs w:val="20"/>
        </w:rPr>
        <w:t xml:space="preserve"> 《猕猴桃</w:t>
      </w:r>
      <w:r>
        <w:rPr>
          <w:rFonts w:hint="eastAsia" w:ascii="Times New Roman" w:hAnsi="Times New Roman"/>
          <w:kern w:val="0"/>
          <w:szCs w:val="20"/>
        </w:rPr>
        <w:t>采收与贮运技术规范</w:t>
      </w:r>
      <w:r>
        <w:rPr>
          <w:rFonts w:ascii="Times New Roman" w:hAnsi="Times New Roman"/>
          <w:kern w:val="0"/>
          <w:szCs w:val="20"/>
        </w:rPr>
        <w:t>》</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bookmarkStart w:id="45" w:name="_Hlk188382936"/>
      <w:r>
        <w:rPr>
          <w:rFonts w:ascii="Times New Roman" w:hAnsi="Times New Roman"/>
          <w:color w:val="000000"/>
          <w:kern w:val="0"/>
          <w:szCs w:val="20"/>
        </w:rPr>
        <w:t>NY/T 1430</w:t>
      </w:r>
      <w:bookmarkEnd w:id="45"/>
      <w:r>
        <w:rPr>
          <w:rFonts w:ascii="Times New Roman" w:hAnsi="Times New Roman"/>
          <w:color w:val="000000"/>
          <w:kern w:val="0"/>
          <w:szCs w:val="20"/>
        </w:rPr>
        <w:t xml:space="preserve"> 《农产品产地编码规则》</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bookmarkStart w:id="46" w:name="_Hlk188382943"/>
      <w:r>
        <w:rPr>
          <w:rFonts w:ascii="Times New Roman" w:hAnsi="Times New Roman"/>
          <w:color w:val="000000"/>
          <w:kern w:val="0"/>
          <w:szCs w:val="20"/>
        </w:rPr>
        <w:t>NY/T 1431</w:t>
      </w:r>
      <w:bookmarkEnd w:id="46"/>
      <w:r>
        <w:rPr>
          <w:rFonts w:ascii="Times New Roman" w:hAnsi="Times New Roman"/>
          <w:color w:val="000000"/>
          <w:kern w:val="0"/>
          <w:szCs w:val="20"/>
        </w:rPr>
        <w:t xml:space="preserve"> 《农产品追溯编码导则》</w:t>
      </w:r>
    </w:p>
    <w:p>
      <w:pPr>
        <w:pStyle w:val="109"/>
        <w:spacing w:before="312" w:after="312"/>
      </w:pPr>
      <w:r>
        <w:rPr>
          <w:rFonts w:hint="eastAsia"/>
          <w:szCs w:val="21"/>
        </w:rPr>
        <w:t>术语和定义</w:t>
      </w:r>
      <w:bookmarkEnd w:id="43"/>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本文件没有需要界定的术语和定义。</w:t>
          </w:r>
        </w:p>
      </w:sdtContent>
    </w:sdt>
    <w:bookmarkEnd w:id="22"/>
    <w:p>
      <w:pPr>
        <w:pStyle w:val="109"/>
        <w:spacing w:before="312" w:after="312"/>
      </w:pPr>
      <w:bookmarkStart w:id="47" w:name="BookMark8"/>
      <w:bookmarkStart w:id="48" w:name="BookMark5"/>
      <w:r>
        <w:t>原料果实</w:t>
      </w:r>
    </w:p>
    <w:p>
      <w:pPr>
        <w:pStyle w:val="110"/>
        <w:spacing w:before="156" w:after="156"/>
        <w:ind w:left="0"/>
      </w:pPr>
      <w:r>
        <w:rPr>
          <w:rFonts w:hint="eastAsia"/>
        </w:rPr>
        <w:t>果实要求</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ascii="Times New Roman" w:hAnsi="Times New Roman"/>
          <w:kern w:val="0"/>
          <w:szCs w:val="20"/>
        </w:rPr>
        <w:t>符合第7部分</w:t>
      </w:r>
      <w:r>
        <w:rPr>
          <w:rFonts w:hint="eastAsia" w:ascii="Times New Roman" w:hAnsi="Times New Roman"/>
          <w:kern w:val="0"/>
          <w:szCs w:val="20"/>
        </w:rPr>
        <w:t>：采收和第8部分：分等分级</w:t>
      </w:r>
      <w:r>
        <w:rPr>
          <w:rFonts w:ascii="Times New Roman" w:hAnsi="Times New Roman"/>
          <w:kern w:val="0"/>
          <w:szCs w:val="20"/>
        </w:rPr>
        <w:t>的规定。</w:t>
      </w:r>
    </w:p>
    <w:p>
      <w:pPr>
        <w:pStyle w:val="110"/>
        <w:spacing w:before="156" w:after="156"/>
        <w:ind w:left="0"/>
      </w:pPr>
      <w:r>
        <w:t>装箱</w:t>
      </w:r>
    </w:p>
    <w:p>
      <w:pPr>
        <w:pStyle w:val="71"/>
        <w:spacing w:before="156" w:after="156"/>
        <w:ind w:left="0"/>
      </w:pPr>
      <w:r>
        <w:rPr>
          <w:rFonts w:hint="eastAsia"/>
        </w:rPr>
        <w:t>装</w:t>
      </w:r>
      <w:r>
        <w:t>果箱要求</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ascii="Times New Roman" w:hAnsi="Times New Roman"/>
          <w:kern w:val="0"/>
          <w:szCs w:val="20"/>
        </w:rPr>
        <w:t>猕猴桃专用贮果箱有木条箱和塑料箱。木条箱规格：内长×宽×高为50cm×35cm×25cm，木条宽3～4cm，木条间隙约1cm，内壁光滑平整，容量15kg/箱；塑料箱（周转箱）规格：内长46 cm，内宽34cm,内高25cm，容量15kg/箱。贮果箱耐压强度要求在500kg垂直压力下变形不超过2 cm。</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hint="eastAsia" w:ascii="Times New Roman" w:hAnsi="Times New Roman"/>
          <w:kern w:val="0"/>
          <w:szCs w:val="20"/>
        </w:rPr>
        <w:t>果箱使用前，应采用</w:t>
      </w:r>
      <w:r>
        <w:rPr>
          <w:rFonts w:ascii="Times New Roman" w:hAnsi="Times New Roman"/>
          <w:kern w:val="0"/>
          <w:szCs w:val="20"/>
        </w:rPr>
        <w:t>60 mg/L～80 mg/L ClO</w:t>
      </w:r>
      <w:r>
        <w:rPr>
          <w:rFonts w:ascii="Times New Roman" w:hAnsi="Times New Roman"/>
          <w:kern w:val="0"/>
          <w:szCs w:val="20"/>
          <w:vertAlign w:val="subscript"/>
        </w:rPr>
        <w:t>2</w:t>
      </w:r>
      <w:r>
        <w:rPr>
          <w:rFonts w:ascii="Times New Roman" w:hAnsi="Times New Roman"/>
          <w:kern w:val="0"/>
          <w:szCs w:val="20"/>
        </w:rPr>
        <w:t>溶液</w:t>
      </w:r>
      <w:r>
        <w:rPr>
          <w:rFonts w:hint="eastAsia" w:ascii="Times New Roman" w:hAnsi="Times New Roman"/>
          <w:kern w:val="0"/>
          <w:szCs w:val="20"/>
        </w:rPr>
        <w:t>，</w:t>
      </w:r>
      <w:r>
        <w:rPr>
          <w:rFonts w:ascii="Times New Roman" w:hAnsi="Times New Roman"/>
          <w:kern w:val="0"/>
          <w:szCs w:val="20"/>
        </w:rPr>
        <w:t>或含氯浓度0.5%～1.0%的漂白粉溶液</w:t>
      </w:r>
      <w:r>
        <w:rPr>
          <w:rFonts w:hint="eastAsia" w:ascii="Times New Roman" w:hAnsi="Times New Roman"/>
          <w:kern w:val="0"/>
          <w:szCs w:val="20"/>
        </w:rPr>
        <w:t>，</w:t>
      </w:r>
      <w:r>
        <w:rPr>
          <w:rFonts w:ascii="Times New Roman" w:hAnsi="Times New Roman"/>
          <w:kern w:val="0"/>
          <w:szCs w:val="20"/>
        </w:rPr>
        <w:t xml:space="preserve">或0.2%次氯酸钠溶液浸泡3 </w:t>
      </w:r>
      <w:r>
        <w:rPr>
          <w:rFonts w:hint="eastAsia" w:ascii="Times New Roman" w:hAnsi="Times New Roman"/>
          <w:kern w:val="0"/>
          <w:szCs w:val="20"/>
        </w:rPr>
        <w:t>min~</w:t>
      </w:r>
      <w:r>
        <w:rPr>
          <w:rFonts w:ascii="Times New Roman" w:hAnsi="Times New Roman"/>
          <w:kern w:val="0"/>
          <w:szCs w:val="20"/>
        </w:rPr>
        <w:t>5</w:t>
      </w:r>
      <w:r>
        <w:rPr>
          <w:rFonts w:hint="eastAsia" w:ascii="Times New Roman" w:hAnsi="Times New Roman"/>
          <w:kern w:val="0"/>
          <w:szCs w:val="20"/>
        </w:rPr>
        <w:t xml:space="preserve"> min</w:t>
      </w:r>
      <w:r>
        <w:rPr>
          <w:rFonts w:ascii="Times New Roman" w:hAnsi="Times New Roman"/>
          <w:kern w:val="0"/>
          <w:szCs w:val="20"/>
        </w:rPr>
        <w:t>，涮洗后沥干。</w:t>
      </w:r>
    </w:p>
    <w:p>
      <w:pPr>
        <w:pStyle w:val="71"/>
        <w:spacing w:before="156" w:after="156"/>
        <w:ind w:left="0"/>
      </w:pPr>
      <w:r>
        <w:t>装箱</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每箱贮果约15 kg，箱外贴上标有品种、产地、净重、等级项目的标签。</w:t>
      </w:r>
    </w:p>
    <w:p>
      <w:pPr>
        <w:pStyle w:val="71"/>
        <w:spacing w:before="156" w:after="156"/>
        <w:ind w:left="0"/>
      </w:pPr>
      <w:r>
        <w:t>产地编码</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具体要求参见NY/T 1430和NY/T 1431。</w:t>
      </w:r>
    </w:p>
    <w:p>
      <w:pPr>
        <w:pStyle w:val="109"/>
        <w:spacing w:before="312" w:after="312"/>
      </w:pPr>
      <w:r>
        <w:rPr>
          <w:rFonts w:hint="eastAsia"/>
        </w:rPr>
        <w:t>商品化处理</w:t>
      </w:r>
    </w:p>
    <w:p>
      <w:pPr>
        <w:pStyle w:val="110"/>
        <w:spacing w:before="156" w:after="156"/>
        <w:ind w:left="0"/>
      </w:pPr>
      <w:r>
        <w:rPr>
          <w:rFonts w:hint="eastAsia"/>
        </w:rPr>
        <w:t>处理厂厂区要求</w:t>
      </w:r>
    </w:p>
    <w:p>
      <w:pPr>
        <w:pStyle w:val="71"/>
        <w:spacing w:before="156" w:after="156"/>
        <w:ind w:left="0"/>
      </w:pPr>
      <w:r>
        <w:rPr>
          <w:rFonts w:hint="eastAsia"/>
        </w:rPr>
        <w:t>选址</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hint="eastAsia" w:ascii="Times New Roman" w:hAnsi="Times New Roman"/>
          <w:kern w:val="0"/>
          <w:szCs w:val="20"/>
        </w:rPr>
        <w:t>应选择靠近产区、交通便利，且远离粉尘、有害气体等周围无其它扩散性污染源的地方建厂。</w:t>
      </w:r>
    </w:p>
    <w:p>
      <w:pPr>
        <w:pStyle w:val="71"/>
        <w:spacing w:before="156" w:after="156"/>
        <w:ind w:left="0"/>
      </w:pPr>
      <w:r>
        <w:rPr>
          <w:rFonts w:hint="eastAsia"/>
        </w:rPr>
        <w:t>布局</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hint="eastAsia" w:ascii="Times New Roman" w:hAnsi="Times New Roman"/>
          <w:kern w:val="0"/>
          <w:szCs w:val="20"/>
        </w:rPr>
        <w:t>按G</w:t>
      </w:r>
      <w:r>
        <w:rPr>
          <w:rFonts w:ascii="Times New Roman" w:hAnsi="Times New Roman"/>
          <w:kern w:val="0"/>
          <w:szCs w:val="20"/>
        </w:rPr>
        <w:t>B 14881</w:t>
      </w:r>
      <w:r>
        <w:rPr>
          <w:rFonts w:hint="eastAsia" w:ascii="Times New Roman" w:hAnsi="Times New Roman"/>
          <w:kern w:val="0"/>
          <w:szCs w:val="20"/>
        </w:rPr>
        <w:t>的规定进行总体规划，应科学合理、方便生产、分区布局功能明确。</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hint="eastAsia" w:ascii="Times New Roman" w:hAnsi="Times New Roman"/>
          <w:kern w:val="0"/>
          <w:szCs w:val="20"/>
        </w:rPr>
        <w:t>厂区一般应包括生产区、仓储区、预冷库、物料堆放区以及生产废弃物处理区。生产区、仓储区等作业区与生活区应有物理隔离。原料卸货区与成品出库区应设置在厂区的不同方位，原料与成品的生产应严格分开。</w:t>
      </w:r>
    </w:p>
    <w:p>
      <w:pPr>
        <w:pStyle w:val="71"/>
        <w:spacing w:before="156" w:after="156"/>
        <w:ind w:left="0"/>
      </w:pPr>
      <w:r>
        <w:rPr>
          <w:rFonts w:hint="eastAsia"/>
        </w:rPr>
        <w:t>卫生</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hint="eastAsia" w:ascii="Times New Roman" w:hAnsi="Times New Roman"/>
          <w:kern w:val="0"/>
          <w:szCs w:val="20"/>
        </w:rPr>
        <w:t>应符合G</w:t>
      </w:r>
      <w:r>
        <w:rPr>
          <w:rFonts w:ascii="Times New Roman" w:hAnsi="Times New Roman"/>
          <w:kern w:val="0"/>
          <w:szCs w:val="20"/>
        </w:rPr>
        <w:t>B 14881</w:t>
      </w:r>
      <w:r>
        <w:rPr>
          <w:rFonts w:hint="eastAsia" w:ascii="Times New Roman" w:hAnsi="Times New Roman"/>
          <w:kern w:val="0"/>
          <w:szCs w:val="20"/>
        </w:rPr>
        <w:t>的规定。</w:t>
      </w:r>
    </w:p>
    <w:p>
      <w:pPr>
        <w:pStyle w:val="110"/>
        <w:spacing w:before="156" w:after="156"/>
        <w:ind w:left="0"/>
      </w:pPr>
      <w:r>
        <w:rPr>
          <w:rFonts w:hint="eastAsia"/>
        </w:rPr>
        <w:t>商品化处理</w:t>
      </w:r>
    </w:p>
    <w:p>
      <w:pPr>
        <w:pStyle w:val="71"/>
        <w:spacing w:before="156" w:after="156"/>
        <w:ind w:left="0"/>
      </w:pPr>
      <w:r>
        <w:rPr>
          <w:rFonts w:hint="eastAsia"/>
        </w:rPr>
        <w:t>预分选</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应剔除有机械伤或腐烂的果实，避免对其它果实造成交叉污染。烂果应进行无害化处理。</w:t>
      </w:r>
    </w:p>
    <w:p>
      <w:pPr>
        <w:pStyle w:val="71"/>
        <w:spacing w:before="156" w:after="156"/>
        <w:ind w:left="0"/>
      </w:pPr>
      <w:r>
        <w:rPr>
          <w:rFonts w:hint="eastAsia"/>
        </w:rPr>
        <w:t>果皮毛处理</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利用刷毛机将果实表面容易脱落的果皮毛擦除，毛刷材质及处理强度以不造成果面机械伤为准。</w:t>
      </w:r>
    </w:p>
    <w:p>
      <w:pPr>
        <w:pStyle w:val="71"/>
        <w:spacing w:before="156" w:after="156"/>
        <w:ind w:left="0"/>
      </w:pPr>
      <w:r>
        <w:rPr>
          <w:rFonts w:hint="eastAsia"/>
        </w:rPr>
        <w:t>分级</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按照第8部分：分等分级执行。剔除无法达到鲜果销售的级外果。果皮较薄或不耐挤压的品种不宜进行机械分选。</w:t>
      </w:r>
    </w:p>
    <w:p>
      <w:pPr>
        <w:pStyle w:val="71"/>
        <w:spacing w:before="156" w:after="156"/>
        <w:ind w:left="0"/>
      </w:pPr>
      <w:r>
        <w:rPr>
          <w:rFonts w:hint="eastAsia"/>
        </w:rPr>
        <w:t>包装</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入库贮藏果实应采用厚度为0</w:t>
      </w:r>
      <w:r>
        <w:rPr>
          <w:rFonts w:ascii="Times New Roman" w:hAnsi="Times New Roman"/>
          <w:color w:val="000000"/>
          <w:kern w:val="0"/>
          <w:szCs w:val="20"/>
        </w:rPr>
        <w:t>.03 mm~0.05</w:t>
      </w:r>
      <w:r>
        <w:rPr>
          <w:rFonts w:hint="eastAsia" w:ascii="Times New Roman" w:hAnsi="Times New Roman"/>
          <w:color w:val="000000"/>
          <w:kern w:val="0"/>
          <w:szCs w:val="20"/>
        </w:rPr>
        <w:t>mm、打有1</w:t>
      </w:r>
      <w:r>
        <w:rPr>
          <w:rFonts w:ascii="Times New Roman" w:hAnsi="Times New Roman"/>
          <w:color w:val="000000"/>
          <w:kern w:val="0"/>
          <w:szCs w:val="20"/>
        </w:rPr>
        <w:t>2~18</w:t>
      </w:r>
      <w:r>
        <w:rPr>
          <w:rFonts w:hint="eastAsia" w:ascii="Times New Roman" w:hAnsi="Times New Roman"/>
          <w:color w:val="000000"/>
          <w:kern w:val="0"/>
          <w:szCs w:val="20"/>
        </w:rPr>
        <w:t>个圆孔（圆孔总面积占膜总面积的5</w:t>
      </w:r>
      <w:r>
        <w:rPr>
          <w:rFonts w:ascii="Times New Roman" w:hAnsi="Times New Roman"/>
          <w:color w:val="000000"/>
          <w:kern w:val="0"/>
          <w:szCs w:val="20"/>
        </w:rPr>
        <w:t>%</w:t>
      </w:r>
      <w:r>
        <w:rPr>
          <w:rFonts w:hint="eastAsia" w:ascii="Times New Roman" w:hAnsi="Times New Roman"/>
          <w:color w:val="000000"/>
          <w:kern w:val="0"/>
          <w:szCs w:val="20"/>
        </w:rPr>
        <w:t>）的薄膜，单筐套膜。</w:t>
      </w:r>
    </w:p>
    <w:p>
      <w:pPr>
        <w:pStyle w:val="109"/>
        <w:spacing w:before="312" w:after="312"/>
      </w:pPr>
      <w:r>
        <w:rPr>
          <w:rFonts w:hint="eastAsia"/>
        </w:rPr>
        <w:t>入库</w:t>
      </w:r>
      <w:r>
        <w:t>前</w:t>
      </w:r>
      <w:r>
        <w:rPr>
          <w:rFonts w:hint="eastAsia"/>
        </w:rPr>
        <w:t>库房处理</w:t>
      </w:r>
    </w:p>
    <w:p>
      <w:pPr>
        <w:pStyle w:val="110"/>
        <w:spacing w:before="156" w:after="156"/>
        <w:ind w:left="0"/>
      </w:pPr>
      <w:r>
        <w:t>冷库检修</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ascii="Times New Roman" w:hAnsi="Times New Roman"/>
          <w:kern w:val="0"/>
          <w:szCs w:val="20"/>
        </w:rPr>
        <w:t>冷藏库、气调库在果实入库前要仔细检查管道系统、制冷系统、通风系统、加湿设备、温湿度检测器、照明设备；气调库还需检查气调设备、库房气密性等，并试运行无异常后停机待用。</w:t>
      </w:r>
    </w:p>
    <w:p>
      <w:pPr>
        <w:pStyle w:val="110"/>
        <w:spacing w:before="156" w:after="156"/>
        <w:ind w:left="0"/>
      </w:pPr>
      <w:r>
        <w:t>冷库消毒杀菌</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ascii="Times New Roman" w:hAnsi="Times New Roman"/>
          <w:kern w:val="0"/>
          <w:szCs w:val="20"/>
        </w:rPr>
        <w:t>果实入库前，</w:t>
      </w:r>
      <w:r>
        <w:rPr>
          <w:rFonts w:hint="eastAsia" w:ascii="Times New Roman" w:hAnsi="Times New Roman"/>
          <w:kern w:val="0"/>
          <w:szCs w:val="20"/>
        </w:rPr>
        <w:t>应</w:t>
      </w:r>
      <w:r>
        <w:rPr>
          <w:rFonts w:ascii="Times New Roman" w:hAnsi="Times New Roman"/>
          <w:kern w:val="0"/>
          <w:szCs w:val="20"/>
        </w:rPr>
        <w:t>对果库进行消毒杀菌。</w:t>
      </w:r>
      <w:r>
        <w:rPr>
          <w:rFonts w:hint="eastAsia" w:ascii="Times New Roman" w:hAnsi="Times New Roman"/>
          <w:kern w:val="0"/>
          <w:szCs w:val="20"/>
        </w:rPr>
        <w:t>消毒宜采用4</w:t>
      </w:r>
      <w:r>
        <w:rPr>
          <w:rFonts w:ascii="Times New Roman" w:hAnsi="Times New Roman"/>
          <w:kern w:val="0"/>
          <w:szCs w:val="20"/>
        </w:rPr>
        <w:t>0~80 mg/m</w:t>
      </w:r>
      <w:r>
        <w:rPr>
          <w:rFonts w:ascii="Times New Roman" w:hAnsi="Times New Roman"/>
          <w:kern w:val="0"/>
          <w:szCs w:val="20"/>
          <w:vertAlign w:val="superscript"/>
        </w:rPr>
        <w:t>3</w:t>
      </w:r>
      <w:r>
        <w:rPr>
          <w:rFonts w:ascii="Times New Roman" w:hAnsi="Times New Roman"/>
          <w:kern w:val="0"/>
          <w:szCs w:val="20"/>
        </w:rPr>
        <w:t>的</w:t>
      </w:r>
      <w:r>
        <w:rPr>
          <w:rFonts w:hint="eastAsia" w:ascii="Times New Roman" w:hAnsi="Times New Roman"/>
          <w:kern w:val="0"/>
          <w:szCs w:val="20"/>
        </w:rPr>
        <w:t>臭氧处理</w:t>
      </w:r>
      <w:r>
        <w:rPr>
          <w:rFonts w:ascii="Times New Roman" w:hAnsi="Times New Roman"/>
          <w:kern w:val="0"/>
          <w:szCs w:val="20"/>
        </w:rPr>
        <w:t>24</w:t>
      </w:r>
      <w:r>
        <w:rPr>
          <w:rFonts w:hint="eastAsia" w:ascii="Times New Roman" w:hAnsi="Times New Roman"/>
          <w:kern w:val="0"/>
          <w:szCs w:val="20"/>
        </w:rPr>
        <w:t xml:space="preserve"> </w:t>
      </w:r>
      <w:r>
        <w:rPr>
          <w:rFonts w:ascii="Times New Roman" w:hAnsi="Times New Roman"/>
          <w:kern w:val="0"/>
          <w:szCs w:val="20"/>
        </w:rPr>
        <w:t>h</w:t>
      </w:r>
      <w:r>
        <w:rPr>
          <w:rFonts w:hint="eastAsia" w:ascii="Times New Roman" w:hAnsi="Times New Roman"/>
          <w:kern w:val="0"/>
          <w:szCs w:val="20"/>
        </w:rPr>
        <w:t>，或者采用</w:t>
      </w:r>
      <w:r>
        <w:rPr>
          <w:rFonts w:ascii="Times New Roman" w:hAnsi="Times New Roman"/>
          <w:kern w:val="0"/>
          <w:szCs w:val="20"/>
        </w:rPr>
        <w:t>60</w:t>
      </w:r>
      <w:r>
        <w:rPr>
          <w:rFonts w:hint="eastAsia" w:ascii="Times New Roman" w:hAnsi="Times New Roman"/>
          <w:kern w:val="0"/>
          <w:szCs w:val="20"/>
        </w:rPr>
        <w:t>~</w:t>
      </w:r>
      <w:r>
        <w:rPr>
          <w:rFonts w:ascii="Times New Roman" w:hAnsi="Times New Roman"/>
          <w:kern w:val="0"/>
          <w:szCs w:val="20"/>
        </w:rPr>
        <w:t>80</w:t>
      </w:r>
      <w:r>
        <w:rPr>
          <w:rFonts w:hint="eastAsia" w:ascii="Times New Roman" w:hAnsi="Times New Roman"/>
          <w:kern w:val="0"/>
          <w:szCs w:val="20"/>
        </w:rPr>
        <w:t xml:space="preserve"> </w:t>
      </w:r>
      <w:r>
        <w:rPr>
          <w:rFonts w:ascii="Times New Roman" w:hAnsi="Times New Roman"/>
          <w:kern w:val="0"/>
          <w:szCs w:val="20"/>
        </w:rPr>
        <w:t>mg/L ClO</w:t>
      </w:r>
      <w:r>
        <w:rPr>
          <w:rFonts w:ascii="Times New Roman" w:hAnsi="Times New Roman"/>
          <w:kern w:val="0"/>
          <w:szCs w:val="20"/>
          <w:vertAlign w:val="subscript"/>
        </w:rPr>
        <w:t>2</w:t>
      </w:r>
      <w:r>
        <w:rPr>
          <w:rFonts w:ascii="Times New Roman" w:hAnsi="Times New Roman"/>
          <w:kern w:val="0"/>
          <w:szCs w:val="20"/>
        </w:rPr>
        <w:t>溶液均匀喷洒</w:t>
      </w:r>
      <w:r>
        <w:rPr>
          <w:rFonts w:hint="eastAsia" w:ascii="Times New Roman" w:hAnsi="Times New Roman"/>
          <w:kern w:val="0"/>
          <w:szCs w:val="20"/>
        </w:rPr>
        <w:t>处理</w:t>
      </w:r>
      <w:r>
        <w:rPr>
          <w:rFonts w:ascii="Times New Roman" w:hAnsi="Times New Roman"/>
          <w:kern w:val="0"/>
          <w:szCs w:val="20"/>
        </w:rPr>
        <w:t>后密闭24</w:t>
      </w:r>
      <w:r>
        <w:rPr>
          <w:rFonts w:hint="eastAsia" w:ascii="Times New Roman" w:hAnsi="Times New Roman"/>
          <w:kern w:val="0"/>
          <w:szCs w:val="20"/>
        </w:rPr>
        <w:t xml:space="preserve"> </w:t>
      </w:r>
      <w:r>
        <w:rPr>
          <w:rFonts w:ascii="Times New Roman" w:hAnsi="Times New Roman"/>
          <w:kern w:val="0"/>
          <w:szCs w:val="20"/>
        </w:rPr>
        <w:t>h。</w:t>
      </w:r>
      <w:r>
        <w:rPr>
          <w:rFonts w:hint="eastAsia" w:ascii="Times New Roman" w:hAnsi="Times New Roman"/>
          <w:kern w:val="0"/>
          <w:szCs w:val="20"/>
        </w:rPr>
        <w:t>密封处理后应</w:t>
      </w:r>
      <w:r>
        <w:rPr>
          <w:rFonts w:ascii="Times New Roman" w:hAnsi="Times New Roman"/>
          <w:kern w:val="0"/>
          <w:szCs w:val="20"/>
        </w:rPr>
        <w:t>打开库门</w:t>
      </w:r>
      <w:r>
        <w:rPr>
          <w:rFonts w:hint="eastAsia" w:ascii="Times New Roman" w:hAnsi="Times New Roman"/>
          <w:kern w:val="0"/>
          <w:szCs w:val="20"/>
        </w:rPr>
        <w:t>，通风2</w:t>
      </w:r>
      <w:r>
        <w:rPr>
          <w:rFonts w:ascii="Times New Roman" w:hAnsi="Times New Roman"/>
          <w:kern w:val="0"/>
          <w:szCs w:val="20"/>
        </w:rPr>
        <w:t>4 h</w:t>
      </w:r>
      <w:r>
        <w:rPr>
          <w:rFonts w:hint="eastAsia" w:ascii="Times New Roman" w:hAnsi="Times New Roman"/>
          <w:kern w:val="0"/>
          <w:szCs w:val="20"/>
        </w:rPr>
        <w:t>以上</w:t>
      </w:r>
      <w:r>
        <w:rPr>
          <w:rFonts w:ascii="Times New Roman" w:hAnsi="Times New Roman"/>
          <w:kern w:val="0"/>
          <w:szCs w:val="20"/>
        </w:rPr>
        <w:t>。</w:t>
      </w:r>
    </w:p>
    <w:p>
      <w:pPr>
        <w:pStyle w:val="109"/>
        <w:spacing w:before="312" w:after="312"/>
      </w:pPr>
      <w:r>
        <w:t>入库贮藏</w:t>
      </w:r>
    </w:p>
    <w:p>
      <w:pPr>
        <w:pStyle w:val="110"/>
        <w:spacing w:before="156" w:after="156"/>
        <w:ind w:left="0"/>
      </w:pPr>
      <w:bookmarkStart w:id="49" w:name="_Toc376194583"/>
      <w:bookmarkStart w:id="50" w:name="_Toc375082198"/>
      <w:bookmarkStart w:id="51" w:name="_Toc375078444"/>
      <w:r>
        <w:t>库房预冷</w:t>
      </w:r>
    </w:p>
    <w:p>
      <w:pPr>
        <w:autoSpaceDE w:val="0"/>
        <w:autoSpaceDN w:val="0"/>
        <w:spacing w:line="360" w:lineRule="exact"/>
        <w:ind w:firstLine="420" w:firstLineChars="200"/>
        <w:jc w:val="left"/>
        <w:rPr>
          <w:rFonts w:ascii="Times New Roman" w:hAnsi="Times New Roman"/>
          <w:color w:val="000000"/>
          <w:kern w:val="0"/>
          <w:szCs w:val="20"/>
        </w:rPr>
      </w:pPr>
      <w:r>
        <w:rPr>
          <w:rFonts w:ascii="Times New Roman" w:hAnsi="Times New Roman"/>
          <w:color w:val="000000"/>
          <w:kern w:val="0"/>
          <w:szCs w:val="20"/>
        </w:rPr>
        <w:t xml:space="preserve">冷库、气调库在猕猴桃入库前4 d~5 </w:t>
      </w:r>
      <w:r>
        <w:rPr>
          <w:rFonts w:hint="eastAsia" w:ascii="Times New Roman" w:hAnsi="Times New Roman"/>
          <w:color w:val="000000"/>
          <w:kern w:val="0"/>
          <w:szCs w:val="20"/>
        </w:rPr>
        <w:t>d</w:t>
      </w:r>
      <w:r>
        <w:rPr>
          <w:rFonts w:ascii="Times New Roman" w:hAnsi="Times New Roman"/>
          <w:color w:val="000000"/>
          <w:kern w:val="0"/>
          <w:szCs w:val="20"/>
        </w:rPr>
        <w:t>开机降温，并稳定在贮藏温度范围</w:t>
      </w:r>
      <w:r>
        <w:rPr>
          <w:rFonts w:hint="eastAsia" w:ascii="Times New Roman" w:hAnsi="Times New Roman"/>
          <w:color w:val="000000"/>
          <w:kern w:val="0"/>
          <w:szCs w:val="20"/>
        </w:rPr>
        <w:t>，待用</w:t>
      </w:r>
      <w:r>
        <w:rPr>
          <w:rFonts w:ascii="Times New Roman" w:hAnsi="Times New Roman"/>
          <w:color w:val="000000"/>
          <w:kern w:val="0"/>
          <w:szCs w:val="20"/>
        </w:rPr>
        <w:t>。</w:t>
      </w:r>
    </w:p>
    <w:p>
      <w:pPr>
        <w:pStyle w:val="110"/>
        <w:spacing w:before="156" w:after="156"/>
        <w:ind w:left="0"/>
      </w:pPr>
      <w:r>
        <w:t>果实愈伤</w:t>
      </w:r>
    </w:p>
    <w:p>
      <w:pPr>
        <w:autoSpaceDE w:val="0"/>
        <w:autoSpaceDN w:val="0"/>
        <w:spacing w:line="360" w:lineRule="exact"/>
        <w:ind w:firstLine="420" w:firstLineChars="200"/>
        <w:jc w:val="left"/>
        <w:rPr>
          <w:rFonts w:ascii="Times New Roman" w:hAnsi="Times New Roman"/>
          <w:color w:val="000000"/>
          <w:kern w:val="0"/>
          <w:szCs w:val="20"/>
        </w:rPr>
      </w:pPr>
      <w:r>
        <w:rPr>
          <w:rFonts w:hint="eastAsia" w:ascii="Times New Roman" w:hAnsi="Times New Roman"/>
          <w:color w:val="000000"/>
          <w:kern w:val="0"/>
          <w:szCs w:val="20"/>
        </w:rPr>
        <w:t>采摘后</w:t>
      </w:r>
      <w:r>
        <w:rPr>
          <w:rFonts w:ascii="Times New Roman" w:hAnsi="Times New Roman"/>
          <w:color w:val="000000"/>
          <w:kern w:val="0"/>
          <w:szCs w:val="20"/>
        </w:rPr>
        <w:t>装</w:t>
      </w:r>
      <w:r>
        <w:rPr>
          <w:rFonts w:hint="eastAsia" w:ascii="Times New Roman" w:hAnsi="Times New Roman"/>
          <w:color w:val="000000"/>
          <w:kern w:val="0"/>
          <w:szCs w:val="20"/>
        </w:rPr>
        <w:t>好</w:t>
      </w:r>
      <w:r>
        <w:rPr>
          <w:rFonts w:ascii="Times New Roman" w:hAnsi="Times New Roman"/>
          <w:color w:val="000000"/>
          <w:kern w:val="0"/>
          <w:szCs w:val="20"/>
        </w:rPr>
        <w:t>箱的猕猴桃应在10 ℃~20 ℃</w:t>
      </w:r>
      <w:r>
        <w:rPr>
          <w:rFonts w:hint="eastAsia" w:ascii="Times New Roman" w:hAnsi="Times New Roman"/>
          <w:color w:val="000000"/>
          <w:kern w:val="0"/>
          <w:szCs w:val="20"/>
        </w:rPr>
        <w:t>、通风良好的环境条件下，放置</w:t>
      </w:r>
      <w:r>
        <w:rPr>
          <w:rFonts w:ascii="Times New Roman" w:hAnsi="Times New Roman"/>
          <w:color w:val="000000"/>
          <w:kern w:val="0"/>
          <w:szCs w:val="20"/>
        </w:rPr>
        <w:t>24 h~48 h</w:t>
      </w:r>
      <w:r>
        <w:rPr>
          <w:rFonts w:hint="eastAsia" w:ascii="Times New Roman" w:hAnsi="Times New Roman"/>
          <w:color w:val="000000"/>
          <w:kern w:val="0"/>
          <w:szCs w:val="20"/>
        </w:rPr>
        <w:t>，待</w:t>
      </w:r>
      <w:r>
        <w:rPr>
          <w:rFonts w:ascii="Times New Roman" w:hAnsi="Times New Roman"/>
          <w:color w:val="000000"/>
          <w:kern w:val="0"/>
          <w:szCs w:val="20"/>
        </w:rPr>
        <w:t>果蒂伤口颜色由翠绿色变为黄褐色</w:t>
      </w:r>
      <w:r>
        <w:rPr>
          <w:rFonts w:hint="eastAsia" w:ascii="Times New Roman" w:hAnsi="Times New Roman"/>
          <w:color w:val="000000"/>
          <w:kern w:val="0"/>
          <w:szCs w:val="20"/>
        </w:rPr>
        <w:t>时</w:t>
      </w:r>
      <w:r>
        <w:rPr>
          <w:rFonts w:ascii="Times New Roman" w:hAnsi="Times New Roman"/>
          <w:color w:val="000000"/>
          <w:kern w:val="0"/>
          <w:szCs w:val="20"/>
        </w:rPr>
        <w:t>即愈伤完成。</w:t>
      </w:r>
    </w:p>
    <w:p>
      <w:pPr>
        <w:pStyle w:val="110"/>
        <w:spacing w:before="156" w:after="156"/>
        <w:ind w:left="0"/>
      </w:pPr>
      <w:r>
        <w:t>果实预冷</w:t>
      </w:r>
    </w:p>
    <w:p>
      <w:pPr>
        <w:autoSpaceDE w:val="0"/>
        <w:autoSpaceDN w:val="0"/>
        <w:spacing w:line="360" w:lineRule="exact"/>
        <w:ind w:firstLine="420" w:firstLineChars="200"/>
        <w:jc w:val="left"/>
        <w:rPr>
          <w:rFonts w:ascii="Times New Roman" w:hAnsi="Times New Roman"/>
          <w:color w:val="000000"/>
          <w:kern w:val="0"/>
          <w:szCs w:val="20"/>
        </w:rPr>
      </w:pPr>
      <w:r>
        <w:rPr>
          <w:rFonts w:ascii="Times New Roman" w:hAnsi="Times New Roman"/>
          <w:color w:val="000000"/>
          <w:kern w:val="0"/>
          <w:szCs w:val="20"/>
        </w:rPr>
        <w:t>果实入预冷库或冷藏间24 h~36 h内</w:t>
      </w:r>
      <w:r>
        <w:rPr>
          <w:rFonts w:hint="eastAsia" w:ascii="Times New Roman" w:hAnsi="Times New Roman"/>
          <w:color w:val="000000"/>
          <w:kern w:val="0"/>
          <w:szCs w:val="20"/>
        </w:rPr>
        <w:t>预冷至5</w:t>
      </w:r>
      <w:r>
        <w:rPr>
          <w:rFonts w:ascii="Times New Roman" w:hAnsi="Times New Roman"/>
          <w:color w:val="000000"/>
          <w:kern w:val="0"/>
          <w:szCs w:val="20"/>
        </w:rPr>
        <w:t xml:space="preserve"> ℃</w:t>
      </w:r>
      <w:r>
        <w:rPr>
          <w:rFonts w:hint="eastAsia" w:ascii="Times New Roman" w:hAnsi="Times New Roman"/>
          <w:color w:val="000000"/>
          <w:kern w:val="0"/>
          <w:szCs w:val="20"/>
        </w:rPr>
        <w:t>±</w:t>
      </w:r>
      <w:r>
        <w:rPr>
          <w:rFonts w:ascii="Times New Roman" w:hAnsi="Times New Roman"/>
          <w:color w:val="000000"/>
          <w:kern w:val="0"/>
          <w:szCs w:val="20"/>
        </w:rPr>
        <w:t>0.5 ℃</w:t>
      </w:r>
      <w:r>
        <w:rPr>
          <w:rFonts w:hint="eastAsia" w:ascii="Times New Roman" w:hAnsi="Times New Roman"/>
          <w:color w:val="000000"/>
          <w:kern w:val="0"/>
          <w:szCs w:val="20"/>
        </w:rPr>
        <w:t>，稳定</w:t>
      </w:r>
      <w:r>
        <w:rPr>
          <w:rFonts w:ascii="Times New Roman" w:hAnsi="Times New Roman"/>
          <w:color w:val="000000"/>
          <w:kern w:val="0"/>
          <w:szCs w:val="20"/>
        </w:rPr>
        <w:t>24 h~48 h</w:t>
      </w:r>
      <w:r>
        <w:rPr>
          <w:rFonts w:hint="eastAsia" w:ascii="Times New Roman" w:hAnsi="Times New Roman"/>
          <w:color w:val="000000"/>
          <w:kern w:val="0"/>
          <w:szCs w:val="20"/>
        </w:rPr>
        <w:t>后，快速降温至</w:t>
      </w:r>
      <w:r>
        <w:rPr>
          <w:rFonts w:ascii="Times New Roman" w:hAnsi="Times New Roman"/>
          <w:color w:val="000000"/>
          <w:kern w:val="0"/>
          <w:szCs w:val="20"/>
        </w:rPr>
        <w:t>该品种要求的贮</w:t>
      </w:r>
      <w:r>
        <w:rPr>
          <w:rFonts w:hint="eastAsia" w:ascii="Times New Roman" w:hAnsi="Times New Roman"/>
          <w:color w:val="000000"/>
          <w:kern w:val="0"/>
          <w:szCs w:val="20"/>
        </w:rPr>
        <w:t>贮藏温度</w:t>
      </w:r>
      <w:r>
        <w:rPr>
          <w:rFonts w:ascii="Times New Roman" w:hAnsi="Times New Roman"/>
          <w:color w:val="000000"/>
          <w:kern w:val="0"/>
          <w:szCs w:val="20"/>
        </w:rPr>
        <w:t>。</w:t>
      </w:r>
    </w:p>
    <w:p>
      <w:pPr>
        <w:pStyle w:val="110"/>
        <w:spacing w:before="156" w:after="156"/>
        <w:ind w:left="0"/>
      </w:pPr>
      <w:r>
        <w:t>货垛堆码</w:t>
      </w:r>
    </w:p>
    <w:p>
      <w:pPr>
        <w:autoSpaceDE w:val="0"/>
        <w:autoSpaceDN w:val="0"/>
        <w:spacing w:line="360" w:lineRule="exact"/>
        <w:ind w:firstLine="420" w:firstLineChars="200"/>
        <w:jc w:val="left"/>
        <w:rPr>
          <w:rFonts w:ascii="Times New Roman" w:hAnsi="Times New Roman"/>
          <w:color w:val="000000"/>
          <w:kern w:val="0"/>
          <w:szCs w:val="20"/>
        </w:rPr>
      </w:pPr>
      <w:r>
        <w:rPr>
          <w:rFonts w:ascii="Times New Roman" w:hAnsi="Times New Roman"/>
          <w:color w:val="000000"/>
          <w:kern w:val="0"/>
          <w:szCs w:val="20"/>
        </w:rPr>
        <w:t>在库内货垛应按产地、品种分别堆码，并悬挂垛牌，入满库后应及时填写货位标签和平面货位图。贮藏条件要求</w:t>
      </w:r>
      <w:r>
        <w:rPr>
          <w:rFonts w:hint="eastAsia" w:ascii="Times New Roman" w:hAnsi="Times New Roman"/>
          <w:color w:val="000000"/>
          <w:kern w:val="0"/>
          <w:szCs w:val="20"/>
        </w:rPr>
        <w:t>不同</w:t>
      </w:r>
      <w:r>
        <w:rPr>
          <w:rFonts w:ascii="Times New Roman" w:hAnsi="Times New Roman"/>
          <w:color w:val="000000"/>
          <w:kern w:val="0"/>
          <w:szCs w:val="20"/>
        </w:rPr>
        <w:t>的品种不宜同库混贮。</w:t>
      </w:r>
    </w:p>
    <w:p>
      <w:pPr>
        <w:autoSpaceDE w:val="0"/>
        <w:autoSpaceDN w:val="0"/>
        <w:spacing w:line="360" w:lineRule="exact"/>
        <w:ind w:firstLine="420" w:firstLineChars="200"/>
        <w:jc w:val="left"/>
        <w:rPr>
          <w:rFonts w:ascii="Times New Roman" w:hAnsi="Times New Roman"/>
          <w:color w:val="000000"/>
          <w:kern w:val="0"/>
          <w:szCs w:val="20"/>
        </w:rPr>
      </w:pPr>
      <w:r>
        <w:rPr>
          <w:rFonts w:ascii="Times New Roman" w:hAnsi="Times New Roman"/>
          <w:color w:val="000000"/>
          <w:kern w:val="0"/>
          <w:szCs w:val="20"/>
        </w:rPr>
        <w:t>货垛距墙不少于0.20 m，距冷风机不少于1.50 m，距库顶不小于0.60 m，垛间距离0.30 m~0.50 m，</w:t>
      </w:r>
    </w:p>
    <w:p>
      <w:pPr>
        <w:autoSpaceDE w:val="0"/>
        <w:autoSpaceDN w:val="0"/>
        <w:spacing w:line="360" w:lineRule="exact"/>
        <w:jc w:val="left"/>
        <w:rPr>
          <w:rFonts w:ascii="Times New Roman" w:hAnsi="Times New Roman"/>
          <w:color w:val="000000"/>
          <w:kern w:val="0"/>
          <w:szCs w:val="20"/>
        </w:rPr>
      </w:pPr>
      <w:r>
        <w:rPr>
          <w:rFonts w:ascii="Times New Roman" w:hAnsi="Times New Roman"/>
          <w:color w:val="000000"/>
          <w:kern w:val="0"/>
          <w:szCs w:val="20"/>
        </w:rPr>
        <w:t>垛内容器间距离0.02 m~0.03 m，垛底高度0.10 m~0.15 m，垛高不能超过冷风机的出口。</w:t>
      </w:r>
    </w:p>
    <w:p>
      <w:pPr>
        <w:autoSpaceDE w:val="0"/>
        <w:autoSpaceDN w:val="0"/>
        <w:spacing w:line="360" w:lineRule="exact"/>
        <w:ind w:firstLine="420" w:firstLineChars="200"/>
        <w:jc w:val="left"/>
        <w:rPr>
          <w:rFonts w:ascii="Times New Roman" w:hAnsi="Times New Roman"/>
          <w:color w:val="000000"/>
          <w:kern w:val="0"/>
          <w:szCs w:val="20"/>
        </w:rPr>
      </w:pPr>
      <w:r>
        <w:rPr>
          <w:rFonts w:ascii="Times New Roman" w:hAnsi="Times New Roman"/>
          <w:color w:val="000000"/>
          <w:kern w:val="0"/>
          <w:szCs w:val="20"/>
        </w:rPr>
        <w:t>货垛堆码要牢固、整齐，货垛间隙走向应与库内气流循环方向一致。</w:t>
      </w:r>
    </w:p>
    <w:p>
      <w:pPr>
        <w:pStyle w:val="110"/>
        <w:spacing w:before="156" w:after="156"/>
        <w:ind w:left="0"/>
      </w:pPr>
      <w:r>
        <w:t>冷藏入库</w:t>
      </w:r>
    </w:p>
    <w:p>
      <w:pPr>
        <w:autoSpaceDE w:val="0"/>
        <w:autoSpaceDN w:val="0"/>
        <w:spacing w:line="360" w:lineRule="exact"/>
        <w:ind w:firstLine="420" w:firstLineChars="200"/>
        <w:jc w:val="left"/>
        <w:rPr>
          <w:rFonts w:ascii="Times New Roman" w:hAnsi="Times New Roman"/>
          <w:color w:val="000000"/>
          <w:kern w:val="0"/>
          <w:szCs w:val="20"/>
        </w:rPr>
      </w:pPr>
      <w:r>
        <w:rPr>
          <w:rFonts w:ascii="Times New Roman" w:hAnsi="Times New Roman"/>
          <w:color w:val="000000"/>
          <w:kern w:val="0"/>
          <w:szCs w:val="20"/>
        </w:rPr>
        <w:t>分批入库，每天入库量不超过该单库容量的20%~25%，入库造成的库温上升不超过3℃，24 h之内降到规范贮藏温度。</w:t>
      </w:r>
    </w:p>
    <w:p>
      <w:pPr>
        <w:pStyle w:val="110"/>
        <w:spacing w:before="156" w:after="156"/>
        <w:ind w:left="0"/>
      </w:pPr>
      <w:r>
        <w:t>气调贮藏入库</w:t>
      </w:r>
    </w:p>
    <w:p>
      <w:pPr>
        <w:autoSpaceDE w:val="0"/>
        <w:autoSpaceDN w:val="0"/>
        <w:spacing w:line="360" w:lineRule="exact"/>
        <w:ind w:firstLine="420" w:firstLineChars="200"/>
        <w:jc w:val="left"/>
        <w:rPr>
          <w:rFonts w:ascii="Times New Roman" w:hAnsi="Times New Roman"/>
          <w:color w:val="000000"/>
          <w:kern w:val="0"/>
          <w:szCs w:val="20"/>
        </w:rPr>
      </w:pPr>
      <w:r>
        <w:rPr>
          <w:rFonts w:ascii="Times New Roman" w:hAnsi="Times New Roman"/>
          <w:color w:val="000000"/>
          <w:kern w:val="0"/>
          <w:szCs w:val="20"/>
        </w:rPr>
        <w:t xml:space="preserve">果实在2 d~3 </w:t>
      </w:r>
      <w:r>
        <w:rPr>
          <w:rFonts w:hint="eastAsia" w:ascii="Times New Roman" w:hAnsi="Times New Roman"/>
          <w:color w:val="000000"/>
          <w:kern w:val="0"/>
          <w:szCs w:val="20"/>
        </w:rPr>
        <w:t>d</w:t>
      </w:r>
      <w:r>
        <w:rPr>
          <w:rFonts w:ascii="Times New Roman" w:hAnsi="Times New Roman"/>
          <w:color w:val="000000"/>
          <w:kern w:val="0"/>
          <w:szCs w:val="20"/>
        </w:rPr>
        <w:t>内装满，在近观察窗口处放置</w:t>
      </w:r>
      <w:r>
        <w:rPr>
          <w:rFonts w:hint="eastAsia" w:ascii="Times New Roman" w:hAnsi="Times New Roman"/>
          <w:color w:val="000000"/>
          <w:kern w:val="0"/>
          <w:szCs w:val="20"/>
        </w:rPr>
        <w:t>样品果</w:t>
      </w:r>
      <w:r>
        <w:rPr>
          <w:rFonts w:ascii="Times New Roman" w:hAnsi="Times New Roman"/>
          <w:color w:val="000000"/>
          <w:kern w:val="0"/>
          <w:szCs w:val="20"/>
        </w:rPr>
        <w:t>，关库门降温</w:t>
      </w:r>
      <w:r>
        <w:rPr>
          <w:rFonts w:hint="eastAsia" w:ascii="Times New Roman" w:hAnsi="Times New Roman"/>
          <w:color w:val="000000"/>
          <w:kern w:val="0"/>
          <w:szCs w:val="20"/>
        </w:rPr>
        <w:t>；待</w:t>
      </w:r>
      <w:r>
        <w:rPr>
          <w:rFonts w:ascii="Times New Roman" w:hAnsi="Times New Roman"/>
          <w:color w:val="000000"/>
          <w:kern w:val="0"/>
          <w:szCs w:val="20"/>
        </w:rPr>
        <w:t>库温稳定后</w:t>
      </w:r>
      <w:r>
        <w:rPr>
          <w:rFonts w:hint="eastAsia" w:ascii="Times New Roman" w:hAnsi="Times New Roman"/>
          <w:color w:val="000000"/>
          <w:kern w:val="0"/>
          <w:szCs w:val="20"/>
        </w:rPr>
        <w:t>，</w:t>
      </w:r>
      <w:r>
        <w:rPr>
          <w:rFonts w:ascii="Times New Roman" w:hAnsi="Times New Roman"/>
          <w:color w:val="000000"/>
          <w:kern w:val="0"/>
          <w:szCs w:val="20"/>
        </w:rPr>
        <w:t>封库调气。</w:t>
      </w:r>
    </w:p>
    <w:p>
      <w:pPr>
        <w:pStyle w:val="109"/>
        <w:spacing w:before="312" w:after="312"/>
      </w:pPr>
      <w:r>
        <w:t>贮藏管理</w:t>
      </w:r>
    </w:p>
    <w:p>
      <w:pPr>
        <w:pStyle w:val="110"/>
        <w:spacing w:before="156" w:after="156"/>
        <w:ind w:left="0"/>
      </w:pPr>
      <w:r>
        <w:t>冷藏</w:t>
      </w:r>
    </w:p>
    <w:p>
      <w:pPr>
        <w:pStyle w:val="71"/>
        <w:spacing w:before="156" w:after="156"/>
        <w:ind w:left="0"/>
      </w:pPr>
      <w:r>
        <w:t>温度</w:t>
      </w:r>
    </w:p>
    <w:p>
      <w:pPr>
        <w:widowControl/>
        <w:adjustRightInd/>
        <w:spacing w:line="360" w:lineRule="exact"/>
        <w:ind w:firstLine="420" w:firstLineChars="200"/>
        <w:jc w:val="left"/>
        <w:outlineLvl w:val="4"/>
        <w:rPr>
          <w:rFonts w:ascii="Times New Roman" w:hAnsi="Times New Roman"/>
          <w:kern w:val="0"/>
        </w:rPr>
      </w:pPr>
      <w:r>
        <w:rPr>
          <w:rFonts w:ascii="Times New Roman" w:hAnsi="Times New Roman"/>
          <w:color w:val="000000"/>
          <w:kern w:val="0"/>
          <w:szCs w:val="20"/>
        </w:rPr>
        <w:t>陕西省主栽猕猴桃品种的贮</w:t>
      </w:r>
      <w:r>
        <w:rPr>
          <w:rFonts w:ascii="Times New Roman" w:hAnsi="Times New Roman"/>
          <w:kern w:val="0"/>
        </w:rPr>
        <w:t>藏温度参考表</w:t>
      </w:r>
      <w:r>
        <w:rPr>
          <w:rFonts w:hint="eastAsia" w:ascii="Times New Roman" w:hAnsi="Times New Roman"/>
          <w:kern w:val="0"/>
        </w:rPr>
        <w:t>A</w:t>
      </w:r>
      <w:r>
        <w:rPr>
          <w:rFonts w:ascii="Times New Roman" w:hAnsi="Times New Roman"/>
          <w:kern w:val="0"/>
        </w:rPr>
        <w:t>.1。果心温度波动控制在±0.25℃，保持至贮期结束。</w:t>
      </w:r>
    </w:p>
    <w:p>
      <w:pPr>
        <w:pStyle w:val="71"/>
        <w:spacing w:before="156" w:after="156"/>
        <w:ind w:left="0"/>
      </w:pPr>
      <w:r>
        <w:t>相对湿度</w:t>
      </w:r>
    </w:p>
    <w:p>
      <w:pPr>
        <w:widowControl/>
        <w:adjustRightInd/>
        <w:spacing w:line="360" w:lineRule="exact"/>
        <w:ind w:firstLine="420" w:firstLineChars="200"/>
        <w:jc w:val="left"/>
        <w:outlineLvl w:val="4"/>
        <w:rPr>
          <w:rFonts w:ascii="Times New Roman" w:hAnsi="Times New Roman"/>
          <w:kern w:val="0"/>
        </w:rPr>
      </w:pPr>
      <w:r>
        <w:rPr>
          <w:rFonts w:ascii="Times New Roman" w:hAnsi="Times New Roman"/>
          <w:kern w:val="0"/>
        </w:rPr>
        <w:t>冷库内最适相对湿度为90％~95％，相对湿度达不到要求时，宜待库温降至要求且稳定后</w:t>
      </w:r>
      <w:r>
        <w:rPr>
          <w:rFonts w:hint="eastAsia" w:ascii="Times New Roman" w:hAnsi="Times New Roman"/>
          <w:kern w:val="0"/>
        </w:rPr>
        <w:t>，</w:t>
      </w:r>
      <w:r>
        <w:rPr>
          <w:rFonts w:ascii="Times New Roman" w:hAnsi="Times New Roman"/>
          <w:kern w:val="0"/>
        </w:rPr>
        <w:t>以加湿器进行</w:t>
      </w:r>
      <w:r>
        <w:rPr>
          <w:rFonts w:hint="eastAsia" w:ascii="Times New Roman" w:hAnsi="Times New Roman"/>
          <w:kern w:val="0"/>
        </w:rPr>
        <w:t>加</w:t>
      </w:r>
      <w:r>
        <w:rPr>
          <w:rFonts w:ascii="Times New Roman" w:hAnsi="Times New Roman"/>
          <w:kern w:val="0"/>
        </w:rPr>
        <w:t>湿。</w:t>
      </w:r>
    </w:p>
    <w:p>
      <w:pPr>
        <w:pStyle w:val="71"/>
        <w:spacing w:before="156" w:after="156"/>
        <w:ind w:left="0"/>
      </w:pPr>
      <w:r>
        <w:t>库内空气循环</w:t>
      </w:r>
    </w:p>
    <w:p>
      <w:pPr>
        <w:widowControl/>
        <w:adjustRightInd/>
        <w:spacing w:line="360" w:lineRule="exact"/>
        <w:ind w:firstLine="420" w:firstLineChars="200"/>
        <w:jc w:val="left"/>
        <w:outlineLvl w:val="4"/>
        <w:rPr>
          <w:rFonts w:ascii="Times New Roman" w:hAnsi="Times New Roman"/>
          <w:kern w:val="0"/>
        </w:rPr>
      </w:pPr>
      <w:r>
        <w:rPr>
          <w:rFonts w:ascii="Times New Roman" w:hAnsi="Times New Roman"/>
          <w:kern w:val="0"/>
        </w:rPr>
        <w:t>货间风速</w:t>
      </w:r>
      <w:r>
        <w:rPr>
          <w:rFonts w:hint="eastAsia" w:ascii="Times New Roman" w:hAnsi="Times New Roman"/>
          <w:kern w:val="0"/>
        </w:rPr>
        <w:t>应</w:t>
      </w:r>
      <w:r>
        <w:rPr>
          <w:rFonts w:ascii="Times New Roman" w:hAnsi="Times New Roman"/>
          <w:kern w:val="0"/>
        </w:rPr>
        <w:t>为0.25~0.5m/s，</w:t>
      </w:r>
      <w:r>
        <w:rPr>
          <w:rFonts w:hint="eastAsia" w:ascii="Times New Roman" w:hAnsi="Times New Roman"/>
          <w:kern w:val="0"/>
        </w:rPr>
        <w:t>宜</w:t>
      </w:r>
      <w:r>
        <w:rPr>
          <w:rFonts w:ascii="Times New Roman" w:hAnsi="Times New Roman"/>
          <w:kern w:val="0"/>
        </w:rPr>
        <w:t>每间隔10 min风机转动一次。</w:t>
      </w:r>
    </w:p>
    <w:p>
      <w:pPr>
        <w:pStyle w:val="110"/>
        <w:spacing w:before="156" w:after="156"/>
        <w:ind w:left="0"/>
      </w:pPr>
      <w:r>
        <w:t>气调贮藏</w:t>
      </w:r>
    </w:p>
    <w:p>
      <w:pPr>
        <w:pStyle w:val="71"/>
        <w:spacing w:before="156" w:after="156"/>
        <w:ind w:left="0"/>
      </w:pPr>
      <w:r>
        <w:t>贮藏温度</w:t>
      </w:r>
    </w:p>
    <w:p>
      <w:pPr>
        <w:widowControl/>
        <w:adjustRightInd/>
        <w:spacing w:line="360" w:lineRule="exact"/>
        <w:ind w:firstLine="420" w:firstLineChars="200"/>
        <w:jc w:val="left"/>
        <w:outlineLvl w:val="4"/>
        <w:rPr>
          <w:rFonts w:ascii="Times New Roman" w:hAnsi="Times New Roman"/>
          <w:kern w:val="0"/>
        </w:rPr>
      </w:pPr>
      <w:r>
        <w:rPr>
          <w:rFonts w:ascii="Times New Roman" w:hAnsi="Times New Roman"/>
          <w:kern w:val="0"/>
        </w:rPr>
        <w:t>降温阶段应注意保持库内外的压力平衡，</w:t>
      </w:r>
      <w:r>
        <w:rPr>
          <w:rFonts w:hint="eastAsia" w:ascii="Times New Roman" w:hAnsi="Times New Roman"/>
          <w:kern w:val="0"/>
        </w:rPr>
        <w:t>应</w:t>
      </w:r>
      <w:r>
        <w:rPr>
          <w:rFonts w:ascii="Times New Roman" w:hAnsi="Times New Roman"/>
          <w:kern w:val="0"/>
        </w:rPr>
        <w:t>在果温和库温稳定在贮温时封库，封库后温度的波动幅度不</w:t>
      </w:r>
      <w:r>
        <w:rPr>
          <w:rFonts w:hint="eastAsia" w:ascii="Times New Roman" w:hAnsi="Times New Roman"/>
          <w:kern w:val="0"/>
        </w:rPr>
        <w:t>宜</w:t>
      </w:r>
      <w:r>
        <w:rPr>
          <w:rFonts w:ascii="Times New Roman" w:hAnsi="Times New Roman"/>
          <w:kern w:val="0"/>
        </w:rPr>
        <w:t>超过±0.25℃。气调贮藏的适宜贮温</w:t>
      </w:r>
      <w:r>
        <w:rPr>
          <w:rFonts w:hint="eastAsia" w:ascii="Times New Roman" w:hAnsi="Times New Roman"/>
          <w:kern w:val="0"/>
        </w:rPr>
        <w:t>应符合本文件8</w:t>
      </w:r>
      <w:r>
        <w:rPr>
          <w:rFonts w:ascii="Times New Roman" w:hAnsi="Times New Roman"/>
          <w:kern w:val="0"/>
        </w:rPr>
        <w:t>.1.1</w:t>
      </w:r>
      <w:r>
        <w:rPr>
          <w:rFonts w:hint="eastAsia" w:ascii="Times New Roman" w:hAnsi="Times New Roman"/>
          <w:kern w:val="0"/>
        </w:rPr>
        <w:t>的要求。</w:t>
      </w:r>
    </w:p>
    <w:p>
      <w:pPr>
        <w:pStyle w:val="71"/>
        <w:spacing w:before="156" w:after="156"/>
        <w:ind w:left="0"/>
      </w:pPr>
      <w:r>
        <w:t>相对湿度</w:t>
      </w:r>
    </w:p>
    <w:p>
      <w:pPr>
        <w:widowControl/>
        <w:adjustRightInd/>
        <w:spacing w:line="360" w:lineRule="exact"/>
        <w:ind w:firstLine="420" w:firstLineChars="200"/>
        <w:jc w:val="left"/>
        <w:outlineLvl w:val="4"/>
        <w:rPr>
          <w:rFonts w:ascii="Times New Roman" w:hAnsi="Times New Roman"/>
          <w:kern w:val="0"/>
        </w:rPr>
      </w:pPr>
      <w:r>
        <w:rPr>
          <w:rFonts w:hint="eastAsia" w:ascii="Times New Roman" w:hAnsi="Times New Roman"/>
          <w:kern w:val="0"/>
        </w:rPr>
        <w:t>应在封库后加湿。相对湿度应符合本文件</w:t>
      </w:r>
      <w:r>
        <w:rPr>
          <w:rFonts w:ascii="Times New Roman" w:hAnsi="Times New Roman"/>
          <w:kern w:val="0"/>
        </w:rPr>
        <w:t>8.1.2</w:t>
      </w:r>
      <w:r>
        <w:rPr>
          <w:rFonts w:hint="eastAsia" w:ascii="Times New Roman" w:hAnsi="Times New Roman"/>
          <w:kern w:val="0"/>
        </w:rPr>
        <w:t>的要求</w:t>
      </w:r>
      <w:r>
        <w:rPr>
          <w:rFonts w:ascii="Times New Roman" w:hAnsi="Times New Roman"/>
          <w:kern w:val="0"/>
        </w:rPr>
        <w:t>。</w:t>
      </w:r>
    </w:p>
    <w:p>
      <w:pPr>
        <w:pStyle w:val="71"/>
        <w:spacing w:before="156" w:after="156"/>
        <w:ind w:left="0"/>
      </w:pPr>
      <w:r>
        <w:t>气体成分</w:t>
      </w:r>
    </w:p>
    <w:p>
      <w:pPr>
        <w:widowControl/>
        <w:adjustRightInd/>
        <w:spacing w:line="360" w:lineRule="exact"/>
        <w:ind w:firstLine="420" w:firstLineChars="200"/>
        <w:jc w:val="left"/>
        <w:outlineLvl w:val="4"/>
        <w:rPr>
          <w:rFonts w:ascii="Times New Roman" w:hAnsi="Times New Roman"/>
          <w:kern w:val="0"/>
        </w:rPr>
      </w:pPr>
      <w:r>
        <w:rPr>
          <w:rFonts w:hint="eastAsia" w:ascii="Times New Roman" w:hAnsi="Times New Roman"/>
          <w:kern w:val="0"/>
        </w:rPr>
        <w:t>宜</w:t>
      </w:r>
      <w:r>
        <w:rPr>
          <w:rFonts w:ascii="Times New Roman" w:hAnsi="Times New Roman"/>
          <w:kern w:val="0"/>
        </w:rPr>
        <w:t>采用充氮或分离法快速</w:t>
      </w:r>
      <w:r>
        <w:rPr>
          <w:rFonts w:hint="eastAsia" w:ascii="Times New Roman" w:hAnsi="Times New Roman"/>
          <w:kern w:val="0"/>
        </w:rPr>
        <w:t>降低</w:t>
      </w:r>
      <w:r>
        <w:rPr>
          <w:rFonts w:ascii="Times New Roman" w:hAnsi="Times New Roman"/>
          <w:kern w:val="0"/>
        </w:rPr>
        <w:t>O</w:t>
      </w:r>
      <w:r>
        <w:rPr>
          <w:rFonts w:ascii="Times New Roman" w:hAnsi="Times New Roman"/>
          <w:kern w:val="0"/>
          <w:vertAlign w:val="subscript"/>
        </w:rPr>
        <w:t>2</w:t>
      </w:r>
      <w:r>
        <w:rPr>
          <w:rFonts w:hint="eastAsia" w:ascii="Times New Roman" w:hAnsi="Times New Roman"/>
          <w:kern w:val="0"/>
        </w:rPr>
        <w:t>浓度</w:t>
      </w:r>
      <w:r>
        <w:rPr>
          <w:rFonts w:ascii="Times New Roman" w:hAnsi="Times New Roman"/>
          <w:kern w:val="0"/>
        </w:rPr>
        <w:t>，</w:t>
      </w:r>
      <w:r>
        <w:rPr>
          <w:rFonts w:hint="eastAsia" w:ascii="Times New Roman" w:hAnsi="Times New Roman"/>
          <w:kern w:val="0"/>
        </w:rPr>
        <w:t>应在</w:t>
      </w:r>
      <w:r>
        <w:rPr>
          <w:rFonts w:ascii="Times New Roman" w:hAnsi="Times New Roman"/>
          <w:kern w:val="0"/>
        </w:rPr>
        <w:t>48 h~72 h</w:t>
      </w:r>
      <w:r>
        <w:rPr>
          <w:rFonts w:hint="eastAsia" w:ascii="Times New Roman" w:hAnsi="Times New Roman"/>
          <w:kern w:val="0"/>
        </w:rPr>
        <w:t>内</w:t>
      </w:r>
      <w:r>
        <w:rPr>
          <w:rFonts w:ascii="Times New Roman" w:hAnsi="Times New Roman"/>
          <w:kern w:val="0"/>
        </w:rPr>
        <w:t>将库内气体成分降至规范范围。O</w:t>
      </w:r>
      <w:r>
        <w:rPr>
          <w:rFonts w:ascii="Times New Roman" w:hAnsi="Times New Roman"/>
          <w:kern w:val="0"/>
          <w:vertAlign w:val="subscript"/>
        </w:rPr>
        <w:t>2</w:t>
      </w:r>
      <w:r>
        <w:rPr>
          <w:rFonts w:hint="eastAsia" w:ascii="Times New Roman" w:hAnsi="Times New Roman"/>
          <w:kern w:val="0"/>
        </w:rPr>
        <w:t>和</w:t>
      </w:r>
      <w:r>
        <w:rPr>
          <w:rFonts w:ascii="Times New Roman" w:hAnsi="Times New Roman"/>
          <w:kern w:val="0"/>
        </w:rPr>
        <w:t>CO</w:t>
      </w:r>
      <w:r>
        <w:rPr>
          <w:rFonts w:ascii="Times New Roman" w:hAnsi="Times New Roman"/>
          <w:kern w:val="0"/>
          <w:vertAlign w:val="subscript"/>
        </w:rPr>
        <w:t>2</w:t>
      </w:r>
      <w:r>
        <w:rPr>
          <w:rFonts w:hint="eastAsia" w:ascii="Times New Roman" w:hAnsi="Times New Roman"/>
          <w:kern w:val="0"/>
        </w:rPr>
        <w:t>的浓度应分别控制在</w:t>
      </w:r>
      <w:r>
        <w:rPr>
          <w:rFonts w:ascii="Times New Roman" w:hAnsi="Times New Roman"/>
          <w:kern w:val="0"/>
        </w:rPr>
        <w:t>2%~3%和3%~5%。</w:t>
      </w:r>
    </w:p>
    <w:p>
      <w:pPr>
        <w:pStyle w:val="71"/>
        <w:spacing w:before="156" w:after="156"/>
        <w:ind w:left="0"/>
      </w:pPr>
      <w:r>
        <w:t>空气</w:t>
      </w:r>
      <w:r>
        <w:rPr>
          <w:rFonts w:hint="eastAsia"/>
        </w:rPr>
        <w:t>循环</w:t>
      </w:r>
    </w:p>
    <w:p>
      <w:pPr>
        <w:widowControl/>
        <w:adjustRightInd/>
        <w:spacing w:line="360" w:lineRule="exact"/>
        <w:ind w:firstLine="420" w:firstLineChars="200"/>
        <w:jc w:val="left"/>
        <w:outlineLvl w:val="4"/>
        <w:rPr>
          <w:rFonts w:ascii="Times New Roman" w:hAnsi="Times New Roman"/>
          <w:kern w:val="0"/>
        </w:rPr>
      </w:pPr>
      <w:r>
        <w:rPr>
          <w:rFonts w:ascii="Times New Roman" w:hAnsi="Times New Roman"/>
          <w:kern w:val="0"/>
        </w:rPr>
        <w:t>贮藏期间</w:t>
      </w:r>
      <w:r>
        <w:rPr>
          <w:rFonts w:hint="eastAsia" w:ascii="Times New Roman" w:hAnsi="Times New Roman"/>
          <w:kern w:val="0"/>
        </w:rPr>
        <w:t>，</w:t>
      </w:r>
      <w:r>
        <w:rPr>
          <w:rFonts w:ascii="Times New Roman" w:hAnsi="Times New Roman"/>
          <w:kern w:val="0"/>
        </w:rPr>
        <w:t>货间风速</w:t>
      </w:r>
      <w:r>
        <w:rPr>
          <w:rFonts w:hint="eastAsia" w:ascii="Times New Roman" w:hAnsi="Times New Roman"/>
          <w:kern w:val="0"/>
        </w:rPr>
        <w:t>应</w:t>
      </w:r>
      <w:r>
        <w:rPr>
          <w:rFonts w:ascii="Times New Roman" w:hAnsi="Times New Roman"/>
          <w:kern w:val="0"/>
        </w:rPr>
        <w:t>在0.25 m/s~0.35 m/s。</w:t>
      </w:r>
    </w:p>
    <w:p>
      <w:pPr>
        <w:pStyle w:val="71"/>
        <w:spacing w:before="156" w:after="156"/>
        <w:ind w:left="0"/>
      </w:pPr>
      <w:r>
        <w:t>果品出库</w:t>
      </w:r>
    </w:p>
    <w:p>
      <w:pPr>
        <w:widowControl/>
        <w:adjustRightInd/>
        <w:spacing w:line="360" w:lineRule="exact"/>
        <w:ind w:firstLine="420" w:firstLineChars="200"/>
        <w:jc w:val="left"/>
        <w:outlineLvl w:val="4"/>
        <w:rPr>
          <w:rFonts w:ascii="Times New Roman" w:hAnsi="Times New Roman"/>
          <w:kern w:val="0"/>
        </w:rPr>
      </w:pPr>
      <w:r>
        <w:rPr>
          <w:rFonts w:ascii="Times New Roman" w:hAnsi="Times New Roman"/>
          <w:kern w:val="0"/>
        </w:rPr>
        <w:t xml:space="preserve">出库前2 </w:t>
      </w:r>
      <w:r>
        <w:rPr>
          <w:rFonts w:hint="eastAsia" w:ascii="Times New Roman" w:hAnsi="Times New Roman"/>
          <w:kern w:val="0"/>
        </w:rPr>
        <w:t>d</w:t>
      </w:r>
      <w:r>
        <w:rPr>
          <w:rFonts w:ascii="Times New Roman" w:hAnsi="Times New Roman"/>
          <w:kern w:val="0"/>
        </w:rPr>
        <w:t>解除气调，缓慢升氧。当库内</w:t>
      </w:r>
      <w:r>
        <w:rPr>
          <w:rFonts w:ascii="Times New Roman" w:hAnsi="Times New Roman" w:eastAsia="TimesNewRomanPSMT"/>
          <w:kern w:val="0"/>
        </w:rPr>
        <w:t>O</w:t>
      </w:r>
      <w:r>
        <w:rPr>
          <w:rFonts w:ascii="Times New Roman" w:hAnsi="Times New Roman" w:eastAsia="TimesNewRomanPSMT"/>
          <w:kern w:val="0"/>
          <w:sz w:val="14"/>
          <w:szCs w:val="14"/>
        </w:rPr>
        <w:t xml:space="preserve">2 </w:t>
      </w:r>
      <w:r>
        <w:rPr>
          <w:rFonts w:ascii="Times New Roman" w:hAnsi="Times New Roman"/>
          <w:kern w:val="0"/>
        </w:rPr>
        <w:t>浓度超过</w:t>
      </w:r>
      <w:r>
        <w:rPr>
          <w:rFonts w:ascii="Times New Roman" w:hAnsi="Times New Roman" w:eastAsia="TimesNewRomanPSMT"/>
          <w:kern w:val="0"/>
        </w:rPr>
        <w:t>18</w:t>
      </w:r>
      <w:r>
        <w:rPr>
          <w:rFonts w:ascii="Times New Roman" w:hAnsi="Times New Roman"/>
          <w:kern w:val="0"/>
        </w:rPr>
        <w:t>％后才可进库操作。出库后尽快分级包装。</w:t>
      </w:r>
    </w:p>
    <w:bookmarkEnd w:id="49"/>
    <w:bookmarkEnd w:id="50"/>
    <w:bookmarkEnd w:id="51"/>
    <w:p>
      <w:pPr>
        <w:pStyle w:val="109"/>
        <w:spacing w:before="312" w:after="312"/>
      </w:pPr>
      <w:r>
        <w:rPr>
          <w:rFonts w:hint="eastAsia"/>
        </w:rPr>
        <w:t>运输</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hint="eastAsia" w:ascii="Times New Roman" w:hAnsi="Times New Roman"/>
          <w:kern w:val="0"/>
          <w:szCs w:val="20"/>
        </w:rPr>
        <w:t>按照N</w:t>
      </w:r>
      <w:r>
        <w:rPr>
          <w:rFonts w:ascii="Times New Roman" w:hAnsi="Times New Roman"/>
          <w:kern w:val="0"/>
          <w:szCs w:val="20"/>
        </w:rPr>
        <w:t>Y/T 1392</w:t>
      </w:r>
      <w:r>
        <w:rPr>
          <w:rFonts w:hint="eastAsia" w:ascii="Times New Roman" w:hAnsi="Times New Roman"/>
          <w:kern w:val="0"/>
          <w:szCs w:val="20"/>
        </w:rPr>
        <w:t>的规定执行。</w:t>
      </w:r>
    </w:p>
    <w:p>
      <w:pPr>
        <w:pStyle w:val="109"/>
        <w:spacing w:before="312" w:after="312"/>
      </w:pPr>
      <w:r>
        <w:t>检验</w:t>
      </w:r>
    </w:p>
    <w:p>
      <w:pPr>
        <w:pStyle w:val="110"/>
        <w:spacing w:before="156" w:after="156"/>
        <w:ind w:left="0"/>
      </w:pPr>
      <w:r>
        <w:t>入库检验</w:t>
      </w:r>
    </w:p>
    <w:p>
      <w:pPr>
        <w:autoSpaceDE w:val="0"/>
        <w:autoSpaceDN w:val="0"/>
        <w:spacing w:line="360" w:lineRule="exact"/>
        <w:ind w:firstLine="420" w:firstLineChars="200"/>
        <w:jc w:val="left"/>
        <w:rPr>
          <w:rFonts w:ascii="Times New Roman" w:hAnsi="Times New Roman"/>
          <w:kern w:val="0"/>
        </w:rPr>
      </w:pPr>
      <w:r>
        <w:rPr>
          <w:rFonts w:ascii="Times New Roman" w:hAnsi="Times New Roman"/>
          <w:kern w:val="0"/>
        </w:rPr>
        <w:t>入库前应进行外观、可溶性固形物、果实硬度检验。每批检测</w:t>
      </w:r>
      <w:r>
        <w:rPr>
          <w:rFonts w:ascii="Times New Roman" w:hAnsi="Times New Roman" w:eastAsia="TimesNewRomanPSMT"/>
          <w:kern w:val="0"/>
        </w:rPr>
        <w:t>30</w:t>
      </w:r>
      <w:r>
        <w:rPr>
          <w:rFonts w:ascii="Times New Roman" w:hAnsi="Times New Roman"/>
          <w:kern w:val="0"/>
        </w:rPr>
        <w:t>个果实，每批检验完毕后，计算检验结果，以判定该批果实的入库质量。</w:t>
      </w:r>
    </w:p>
    <w:p>
      <w:pPr>
        <w:autoSpaceDE w:val="0"/>
        <w:autoSpaceDN w:val="0"/>
        <w:spacing w:line="360" w:lineRule="exact"/>
        <w:ind w:firstLine="420" w:firstLineChars="200"/>
        <w:jc w:val="left"/>
        <w:rPr>
          <w:rFonts w:ascii="Times New Roman" w:hAnsi="Times New Roman"/>
          <w:kern w:val="0"/>
        </w:rPr>
      </w:pPr>
      <w:r>
        <w:rPr>
          <w:rFonts w:ascii="Times New Roman" w:hAnsi="Times New Roman"/>
          <w:kern w:val="0"/>
        </w:rPr>
        <w:t>以全部抽样件进行称重，以单位平均重量乘总件数计算入库量。</w:t>
      </w:r>
    </w:p>
    <w:p>
      <w:pPr>
        <w:pStyle w:val="110"/>
        <w:spacing w:before="156" w:after="156"/>
        <w:ind w:left="0"/>
      </w:pPr>
      <w:r>
        <w:t>贮藏期检验</w:t>
      </w:r>
    </w:p>
    <w:p>
      <w:pPr>
        <w:autoSpaceDE w:val="0"/>
        <w:autoSpaceDN w:val="0"/>
        <w:spacing w:line="360" w:lineRule="exact"/>
        <w:ind w:firstLine="420" w:firstLineChars="200"/>
        <w:jc w:val="left"/>
        <w:rPr>
          <w:rFonts w:ascii="Times New Roman" w:hAnsi="Times New Roman"/>
          <w:kern w:val="0"/>
        </w:rPr>
      </w:pPr>
      <w:r>
        <w:rPr>
          <w:rFonts w:ascii="Times New Roman" w:hAnsi="Times New Roman"/>
          <w:kern w:val="0"/>
        </w:rPr>
        <w:t>在贮藏期间应每间隔</w:t>
      </w:r>
      <w:r>
        <w:rPr>
          <w:rFonts w:ascii="Times New Roman" w:hAnsi="Times New Roman" w:eastAsia="TimesNewRomanPSMT"/>
          <w:kern w:val="0"/>
        </w:rPr>
        <w:t xml:space="preserve">10 </w:t>
      </w:r>
      <w:r>
        <w:rPr>
          <w:rFonts w:hint="eastAsia" w:ascii="Times New Roman" w:hAnsi="Times New Roman"/>
          <w:kern w:val="0"/>
        </w:rPr>
        <w:t>d</w:t>
      </w:r>
      <w:r>
        <w:rPr>
          <w:rFonts w:ascii="Times New Roman" w:hAnsi="Times New Roman" w:eastAsia="TimesNewRomanPSMT"/>
          <w:kern w:val="0"/>
        </w:rPr>
        <w:t xml:space="preserve">~15 </w:t>
      </w:r>
      <w:r>
        <w:rPr>
          <w:rFonts w:hint="eastAsia" w:ascii="Times New Roman" w:hAnsi="Times New Roman"/>
          <w:kern w:val="0"/>
        </w:rPr>
        <w:t>d</w:t>
      </w:r>
      <w:r>
        <w:rPr>
          <w:rFonts w:ascii="Times New Roman" w:hAnsi="Times New Roman"/>
          <w:kern w:val="0"/>
        </w:rPr>
        <w:t>抽检一次，每次抽检</w:t>
      </w:r>
      <w:r>
        <w:rPr>
          <w:rFonts w:ascii="Times New Roman" w:hAnsi="Times New Roman" w:eastAsia="TimesNewRomanPSMT"/>
          <w:kern w:val="0"/>
        </w:rPr>
        <w:t>30</w:t>
      </w:r>
      <w:r>
        <w:rPr>
          <w:rFonts w:ascii="Times New Roman" w:hAnsi="Times New Roman"/>
          <w:kern w:val="0"/>
        </w:rPr>
        <w:t>个果实，贮藏期检验项目包括果实硬度、可</w:t>
      </w:r>
    </w:p>
    <w:p>
      <w:pPr>
        <w:autoSpaceDE w:val="0"/>
        <w:autoSpaceDN w:val="0"/>
        <w:spacing w:line="360" w:lineRule="exact"/>
        <w:jc w:val="left"/>
        <w:rPr>
          <w:rFonts w:ascii="Times New Roman" w:hAnsi="Times New Roman"/>
          <w:kern w:val="0"/>
        </w:rPr>
      </w:pPr>
      <w:r>
        <w:rPr>
          <w:rFonts w:ascii="Times New Roman" w:hAnsi="Times New Roman"/>
          <w:kern w:val="0"/>
        </w:rPr>
        <w:t>溶性固形物含量、侵染性病害率、生理性病害率和腐烂率。</w:t>
      </w:r>
    </w:p>
    <w:p>
      <w:pPr>
        <w:pStyle w:val="110"/>
        <w:spacing w:before="156" w:after="156"/>
        <w:ind w:left="0"/>
      </w:pPr>
      <w:r>
        <w:t>出库检验</w:t>
      </w:r>
    </w:p>
    <w:p>
      <w:pPr>
        <w:autoSpaceDE w:val="0"/>
        <w:autoSpaceDN w:val="0"/>
        <w:spacing w:line="360" w:lineRule="exact"/>
        <w:ind w:firstLine="420" w:firstLineChars="200"/>
        <w:jc w:val="left"/>
        <w:rPr>
          <w:rFonts w:ascii="Times New Roman" w:hAnsi="Times New Roman"/>
        </w:rPr>
      </w:pPr>
      <w:r>
        <w:rPr>
          <w:rFonts w:ascii="Times New Roman" w:hAnsi="Times New Roman"/>
          <w:kern w:val="0"/>
        </w:rPr>
        <w:t>猕猴桃出库前</w:t>
      </w:r>
      <w:r>
        <w:rPr>
          <w:rFonts w:hint="eastAsia" w:ascii="Times New Roman" w:hAnsi="Times New Roman"/>
          <w:kern w:val="0"/>
        </w:rPr>
        <w:t>，</w:t>
      </w:r>
      <w:r>
        <w:rPr>
          <w:rFonts w:ascii="Times New Roman" w:hAnsi="Times New Roman"/>
          <w:kern w:val="0"/>
        </w:rPr>
        <w:t>除按贮藏期检验项目进行检验外，尚需检查统计腐烂损耗率、失重损耗率及采后总损</w:t>
      </w:r>
      <w:r>
        <w:rPr>
          <w:rFonts w:ascii="Times New Roman" w:hAnsi="Times New Roman"/>
        </w:rPr>
        <w:t>耗率，填好出库检验记录单。果实出库品质应符合</w:t>
      </w:r>
      <w:r>
        <w:rPr>
          <w:rFonts w:hint="eastAsia" w:ascii="Times New Roman" w:hAnsi="Times New Roman"/>
        </w:rPr>
        <w:t>本综合体</w:t>
      </w:r>
      <w:r>
        <w:rPr>
          <w:rFonts w:hint="eastAsia" w:ascii="宋体" w:hAnsi="宋体" w:cs="宋体"/>
        </w:rPr>
        <w:t>第8部分：分等分级的要求</w:t>
      </w:r>
      <w:r>
        <w:rPr>
          <w:rFonts w:ascii="Times New Roman" w:hAnsi="Times New Roman"/>
        </w:rPr>
        <w:t>。</w:t>
      </w:r>
    </w:p>
    <w:p>
      <w:pPr>
        <w:pStyle w:val="110"/>
        <w:spacing w:before="156" w:after="156"/>
        <w:ind w:left="0"/>
      </w:pPr>
      <w:r>
        <w:rPr>
          <w:rFonts w:hint="eastAsia"/>
        </w:rPr>
        <w:t>过程</w:t>
      </w:r>
      <w:r>
        <w:t>记录</w:t>
      </w:r>
    </w:p>
    <w:p>
      <w:pPr>
        <w:widowControl/>
        <w:adjustRightInd/>
        <w:spacing w:line="360" w:lineRule="exact"/>
        <w:ind w:firstLine="420" w:firstLineChars="200"/>
        <w:jc w:val="left"/>
        <w:outlineLvl w:val="4"/>
        <w:rPr>
          <w:rFonts w:ascii="Times New Roman" w:hAnsi="Times New Roman"/>
          <w:kern w:val="0"/>
        </w:rPr>
      </w:pPr>
      <w:r>
        <w:rPr>
          <w:rFonts w:hint="eastAsia" w:ascii="Times New Roman" w:hAnsi="Times New Roman"/>
          <w:kern w:val="0"/>
        </w:rPr>
        <w:t>执行各阶段操作的人员姓名、时间、货品来源、品种及执行的具体操作内容。</w:t>
      </w:r>
    </w:p>
    <w:p>
      <w:pPr>
        <w:pStyle w:val="109"/>
        <w:spacing w:before="312" w:after="312"/>
      </w:pPr>
      <w:r>
        <w:t>试验方法</w:t>
      </w:r>
    </w:p>
    <w:p>
      <w:pPr>
        <w:pStyle w:val="110"/>
        <w:spacing w:before="156" w:after="156"/>
        <w:ind w:left="0"/>
      </w:pPr>
      <w:r>
        <w:t>可溶性固形物含量</w:t>
      </w:r>
    </w:p>
    <w:p>
      <w:pPr>
        <w:autoSpaceDE w:val="0"/>
        <w:autoSpaceDN w:val="0"/>
        <w:spacing w:line="360" w:lineRule="exact"/>
        <w:ind w:firstLine="420" w:firstLineChars="200"/>
        <w:jc w:val="left"/>
        <w:rPr>
          <w:rFonts w:ascii="Times New Roman" w:hAnsi="Times New Roman"/>
          <w:kern w:val="0"/>
        </w:rPr>
      </w:pPr>
      <w:r>
        <w:rPr>
          <w:rFonts w:hint="eastAsia" w:ascii="Times New Roman" w:hAnsi="Times New Roman"/>
        </w:rPr>
        <w:t>参照第7部分：采收执行</w:t>
      </w:r>
      <w:r>
        <w:rPr>
          <w:rFonts w:ascii="Times New Roman" w:hAnsi="Times New Roman"/>
          <w:kern w:val="0"/>
        </w:rPr>
        <w:t>。</w:t>
      </w:r>
    </w:p>
    <w:p>
      <w:pPr>
        <w:pStyle w:val="110"/>
        <w:spacing w:before="156" w:after="156"/>
        <w:ind w:left="0"/>
      </w:pPr>
      <w:r>
        <w:t>干物质含量检测</w:t>
      </w:r>
    </w:p>
    <w:p>
      <w:pPr>
        <w:autoSpaceDE w:val="0"/>
        <w:autoSpaceDN w:val="0"/>
        <w:spacing w:line="360" w:lineRule="exact"/>
        <w:jc w:val="left"/>
        <w:rPr>
          <w:rFonts w:ascii="Times New Roman" w:hAnsi="Times New Roman" w:eastAsia="TimesNewRomanPSMT"/>
          <w:kern w:val="0"/>
        </w:rPr>
      </w:pPr>
      <w:r>
        <w:rPr>
          <w:rFonts w:ascii="Times New Roman" w:hAnsi="Times New Roman" w:eastAsia="TimesNewRomanPSMT"/>
          <w:kern w:val="0"/>
        </w:rPr>
        <w:t xml:space="preserve">    </w:t>
      </w:r>
      <w:r>
        <w:rPr>
          <w:rFonts w:hint="eastAsia" w:ascii="Times New Roman" w:hAnsi="Times New Roman"/>
        </w:rPr>
        <w:t>参照第7部分：采收执行</w:t>
      </w:r>
      <w:r>
        <w:rPr>
          <w:rFonts w:ascii="Times New Roman" w:hAnsi="宋体"/>
          <w:kern w:val="0"/>
        </w:rPr>
        <w:t>。</w:t>
      </w:r>
    </w:p>
    <w:p>
      <w:pPr>
        <w:pStyle w:val="110"/>
        <w:spacing w:before="156" w:after="156"/>
        <w:ind w:left="0"/>
      </w:pPr>
      <w:r>
        <w:t>侵染性病害率、生理性病害率、腐烂率</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rPr>
      </w:pPr>
      <w:r>
        <w:rPr>
          <w:rFonts w:ascii="Times New Roman" w:hAnsi="Times New Roman"/>
          <w:kern w:val="0"/>
        </w:rPr>
        <w:t>均以目测法判定，抽检数量</w:t>
      </w:r>
      <w:r>
        <w:rPr>
          <w:rFonts w:ascii="Times New Roman" w:hAnsi="Times New Roman" w:eastAsia="TimesNewRomanPSMT"/>
          <w:kern w:val="0"/>
        </w:rPr>
        <w:t>30</w:t>
      </w:r>
      <w:r>
        <w:rPr>
          <w:rFonts w:ascii="Times New Roman" w:hAnsi="Times New Roman"/>
          <w:kern w:val="0"/>
        </w:rPr>
        <w:t>个果，分别计算受损或病害果个数除以检测果实总数，计算百分率。</w:t>
      </w:r>
    </w:p>
    <w:p>
      <w:pPr>
        <w:pStyle w:val="110"/>
        <w:spacing w:before="156" w:after="156"/>
        <w:ind w:left="0"/>
      </w:pPr>
      <w:r>
        <w:t>失重损耗率计算</w:t>
      </w:r>
    </w:p>
    <w:p>
      <w:pPr>
        <w:autoSpaceDE w:val="0"/>
        <w:autoSpaceDN w:val="0"/>
        <w:spacing w:line="360" w:lineRule="exact"/>
        <w:ind w:firstLine="420" w:firstLineChars="200"/>
        <w:jc w:val="left"/>
        <w:rPr>
          <w:rFonts w:ascii="Times New Roman" w:hAnsi="Times New Roman"/>
          <w:kern w:val="0"/>
        </w:rPr>
      </w:pPr>
      <w:r>
        <w:rPr>
          <w:rFonts w:ascii="Times New Roman" w:hAnsi="Times New Roman"/>
          <w:kern w:val="0"/>
        </w:rPr>
        <w:t>采用重量称量法，计算因失水引起的健康果实损耗率：</w:t>
      </w:r>
    </w:p>
    <w:p>
      <w:pPr>
        <w:autoSpaceDE w:val="0"/>
        <w:autoSpaceDN w:val="0"/>
        <w:spacing w:before="312" w:beforeLines="100" w:line="240" w:lineRule="exact"/>
        <w:ind w:firstLine="2940" w:firstLineChars="1400"/>
        <w:jc w:val="left"/>
        <w:rPr>
          <w:rFonts w:ascii="Times New Roman" w:hAnsi="Times New Roman"/>
          <w:kern w:val="0"/>
        </w:rPr>
      </w:pPr>
      <w:r>
        <w:rPr>
          <w:rFonts w:ascii="Times New Roman" w:hAnsi="Times New Roman"/>
          <w:kern w:val="0"/>
        </w:rPr>
        <w:t>入库时重量－抽样时重量</w:t>
      </w:r>
    </w:p>
    <w:p>
      <w:pPr>
        <w:autoSpaceDE w:val="0"/>
        <w:autoSpaceDN w:val="0"/>
        <w:spacing w:line="240" w:lineRule="exact"/>
        <w:ind w:firstLine="840" w:firstLineChars="400"/>
        <w:jc w:val="left"/>
        <w:rPr>
          <w:rFonts w:ascii="Times New Roman" w:hAnsi="Times New Roman" w:eastAsia="TimesNewRomanPSMT"/>
          <w:kern w:val="0"/>
        </w:rPr>
      </w:pPr>
      <w:r>
        <w:rPr>
          <w:rFonts w:ascii="Times New Roman" w:hAnsi="Times New Roman"/>
          <w:kern w:val="0"/>
        </w:rPr>
        <w:t xml:space="preserve">自然损耗率（％）＝ </w:t>
      </w:r>
      <w:r>
        <w:rPr>
          <w:rFonts w:ascii="Times New Roman" w:hAnsi="Times New Roman" w:eastAsia="TimesNewRomanPSMT"/>
          <w:kern w:val="0"/>
        </w:rPr>
        <w:t>—————————————  × 100 %</w:t>
      </w:r>
    </w:p>
    <w:p>
      <w:pPr>
        <w:widowControl/>
        <w:tabs>
          <w:tab w:val="center" w:pos="4201"/>
          <w:tab w:val="right" w:leader="dot" w:pos="9298"/>
        </w:tabs>
        <w:autoSpaceDE w:val="0"/>
        <w:autoSpaceDN w:val="0"/>
        <w:adjustRightInd/>
        <w:spacing w:line="240" w:lineRule="exact"/>
        <w:ind w:firstLine="3570" w:firstLineChars="1700"/>
        <w:rPr>
          <w:rFonts w:ascii="Times New Roman" w:hAnsi="Times New Roman"/>
          <w:kern w:val="0"/>
          <w:szCs w:val="20"/>
        </w:rPr>
      </w:pPr>
      <w:r>
        <w:rPr>
          <w:rFonts w:ascii="Times New Roman" w:hAnsi="Times New Roman"/>
          <w:kern w:val="0"/>
        </w:rPr>
        <w:t>入库时重量</w:t>
      </w:r>
    </w:p>
    <w:p>
      <w:pPr>
        <w:widowControl/>
        <w:adjustRightInd/>
        <w:spacing w:line="240" w:lineRule="auto"/>
        <w:ind w:firstLine="420" w:firstLineChars="200"/>
        <w:jc w:val="left"/>
        <w:rPr>
          <w:rFonts w:ascii="Times New Roman" w:hAnsi="Times New Roman"/>
        </w:rPr>
      </w:pPr>
    </w:p>
    <w:p>
      <w:pPr>
        <w:widowControl/>
        <w:adjustRightInd/>
        <w:spacing w:line="240" w:lineRule="auto"/>
        <w:ind w:firstLine="420" w:firstLineChars="200"/>
        <w:jc w:val="left"/>
        <w:rPr>
          <w:rFonts w:ascii="Times New Roman" w:hAnsi="Times New Roman"/>
        </w:rPr>
      </w:pPr>
      <w:r>
        <w:rPr>
          <w:rFonts w:ascii="Times New Roman" w:hAnsi="Times New Roman"/>
        </w:rPr>
        <w:br w:type="page"/>
      </w:r>
    </w:p>
    <w:p>
      <w:pPr>
        <w:pStyle w:val="82"/>
        <w:spacing w:after="156"/>
      </w:pPr>
      <w:r>
        <w:br w:type="textWrapping"/>
      </w:r>
      <w:r>
        <w:rPr>
          <w:rFonts w:hint="eastAsia"/>
        </w:rPr>
        <w:t>（规范性）</w:t>
      </w:r>
      <w:r>
        <w:br w:type="textWrapping"/>
      </w:r>
      <w:r>
        <w:rPr>
          <w:rFonts w:hint="eastAsia"/>
        </w:rPr>
        <w:t>陕西猕猴桃主栽品种贮藏温度</w:t>
      </w:r>
    </w:p>
    <w:p>
      <w:pPr>
        <w:pStyle w:val="83"/>
        <w:spacing w:before="156" w:after="156"/>
      </w:pPr>
      <w:r>
        <w:t>陕西</w:t>
      </w:r>
      <w:r>
        <w:rPr>
          <w:rFonts w:hint="eastAsia"/>
        </w:rPr>
        <w:t>猕猴桃</w:t>
      </w:r>
      <w:r>
        <w:t>主栽品种贮藏温度</w:t>
      </w:r>
    </w:p>
    <w:tbl>
      <w:tblPr>
        <w:tblStyle w:val="36"/>
        <w:tblW w:w="845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7"/>
        <w:gridCol w:w="1416"/>
        <w:gridCol w:w="1416"/>
        <w:gridCol w:w="1416"/>
        <w:gridCol w:w="1416"/>
        <w:gridCol w:w="13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71" w:hRule="atLeast"/>
          <w:jc w:val="center"/>
        </w:trPr>
        <w:tc>
          <w:tcPr>
            <w:tcW w:w="1417"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品种</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徐香</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翠香</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海沃德</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秦美</w:t>
            </w:r>
          </w:p>
        </w:tc>
        <w:tc>
          <w:tcPr>
            <w:tcW w:w="1378"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瑞玉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71" w:hRule="atLeast"/>
          <w:jc w:val="center"/>
        </w:trPr>
        <w:tc>
          <w:tcPr>
            <w:tcW w:w="1417"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温度（℃）</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0~1.0</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0~1.0</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0~1.0</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0~1.0</w:t>
            </w:r>
          </w:p>
        </w:tc>
        <w:tc>
          <w:tcPr>
            <w:tcW w:w="1378"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1" w:hRule="atLeast"/>
          <w:jc w:val="center"/>
        </w:trPr>
        <w:tc>
          <w:tcPr>
            <w:tcW w:w="1417"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品种</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金福</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郁香</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农大金猕</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红阳</w:t>
            </w:r>
          </w:p>
        </w:tc>
        <w:tc>
          <w:tcPr>
            <w:tcW w:w="1378"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脐红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1" w:hRule="atLeast"/>
          <w:jc w:val="center"/>
        </w:trPr>
        <w:tc>
          <w:tcPr>
            <w:tcW w:w="1417"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温度（℃）</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0~1.0</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0~1.0</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1.0~2.0</w:t>
            </w:r>
          </w:p>
        </w:tc>
        <w:tc>
          <w:tcPr>
            <w:tcW w:w="1416"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1.0~2.0</w:t>
            </w:r>
          </w:p>
        </w:tc>
        <w:tc>
          <w:tcPr>
            <w:tcW w:w="1378" w:type="dxa"/>
            <w:vAlign w:val="center"/>
          </w:tcPr>
          <w:p>
            <w:pPr>
              <w:widowControl/>
              <w:adjustRightInd/>
              <w:spacing w:line="360" w:lineRule="exact"/>
              <w:jc w:val="center"/>
              <w:outlineLvl w:val="4"/>
              <w:rPr>
                <w:rFonts w:ascii="Times New Roman" w:hAnsi="Times New Roman"/>
                <w:kern w:val="0"/>
                <w:sz w:val="18"/>
                <w:szCs w:val="18"/>
              </w:rPr>
            </w:pPr>
            <w:r>
              <w:rPr>
                <w:rFonts w:ascii="Times New Roman" w:hAnsi="Times New Roman"/>
                <w:kern w:val="0"/>
                <w:sz w:val="18"/>
                <w:szCs w:val="18"/>
              </w:rPr>
              <w:t>1.0~2.0</w:t>
            </w:r>
          </w:p>
        </w:tc>
      </w:tr>
    </w:tbl>
    <w:p>
      <w:pPr>
        <w:widowControl/>
        <w:adjustRightInd/>
        <w:spacing w:before="156" w:beforeLines="50" w:after="156" w:afterLines="50" w:line="360" w:lineRule="exact"/>
        <w:jc w:val="center"/>
        <w:outlineLvl w:val="2"/>
        <w:rPr>
          <w:color w:val="000000" w:themeColor="text1"/>
          <w14:textFill>
            <w14:solidFill>
              <w14:schemeClr w14:val="tx1"/>
            </w14:solidFill>
          </w14:textFill>
        </w:rPr>
      </w:pPr>
    </w:p>
    <w:p>
      <w:pPr>
        <w:widowControl/>
        <w:adjustRightInd/>
        <w:spacing w:before="156" w:beforeLines="50" w:after="156" w:afterLines="50" w:line="360" w:lineRule="exact"/>
        <w:jc w:val="center"/>
        <w:outlineLvl w:val="2"/>
        <w:rPr>
          <w:color w:val="000000" w:themeColor="text1"/>
          <w14:textFill>
            <w14:solidFill>
              <w14:schemeClr w14:val="tx1"/>
            </w14:solidFill>
          </w14:textFill>
        </w:rPr>
      </w:pPr>
      <w:r>
        <w:drawing>
          <wp:inline distT="0" distB="0" distL="0" distR="0">
            <wp:extent cx="1485900" cy="317500"/>
            <wp:effectExtent l="0" t="0" r="0" b="6350"/>
            <wp:docPr id="10"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29"/>
                    <pic:cNvPicPr>
                      <a:picLocks noChangeAspect="1"/>
                    </pic:cNvPicPr>
                  </pic:nvPicPr>
                  <pic:blipFill>
                    <a:blip r:embed="rId12"/>
                    <a:stretch>
                      <a:fillRect/>
                    </a:stretch>
                  </pic:blipFill>
                  <pic:spPr>
                    <a:xfrm>
                      <a:off x="0" y="0"/>
                      <a:ext cx="1485900" cy="317500"/>
                    </a:xfrm>
                    <a:prstGeom prst="rect">
                      <a:avLst/>
                    </a:prstGeom>
                  </pic:spPr>
                </pic:pic>
              </a:graphicData>
            </a:graphic>
          </wp:inline>
        </w:drawing>
      </w:r>
    </w:p>
    <w:bookmarkEnd w:id="21"/>
    <w:bookmarkEnd w:id="47"/>
    <w:bookmarkEnd w:id="48"/>
    <w:p>
      <w:pPr>
        <w:pStyle w:val="203"/>
        <w:numPr>
          <w:ilvl w:val="0"/>
          <w:numId w:val="30"/>
        </w:numPr>
        <w:ind w:firstLine="0"/>
        <w:rPr>
          <w:vanish w:val="0"/>
          <w:color w:val="000000" w:themeColor="text1"/>
          <w14:textFill>
            <w14:solidFill>
              <w14:schemeClr w14:val="tx1"/>
            </w14:solidFill>
          </w14:textFill>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1134"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3"/>
  </w:num>
  <w:num w:numId="2">
    <w:abstractNumId w:val="24"/>
  </w:num>
  <w:num w:numId="3">
    <w:abstractNumId w:val="28"/>
  </w:num>
  <w:num w:numId="4">
    <w:abstractNumId w:val="8"/>
  </w:num>
  <w:num w:numId="5">
    <w:abstractNumId w:val="10"/>
  </w:num>
  <w:num w:numId="6">
    <w:abstractNumId w:val="14"/>
  </w:num>
  <w:num w:numId="7">
    <w:abstractNumId w:val="22"/>
  </w:num>
  <w:num w:numId="8">
    <w:abstractNumId w:val="20"/>
  </w:num>
  <w:num w:numId="9">
    <w:abstractNumId w:val="16"/>
  </w:num>
  <w:num w:numId="10">
    <w:abstractNumId w:val="23"/>
  </w:num>
  <w:num w:numId="11">
    <w:abstractNumId w:val="1"/>
  </w:num>
  <w:num w:numId="12">
    <w:abstractNumId w:val="21"/>
  </w:num>
  <w:num w:numId="13">
    <w:abstractNumId w:val="15"/>
  </w:num>
  <w:num w:numId="14">
    <w:abstractNumId w:val="3"/>
  </w:num>
  <w:num w:numId="15">
    <w:abstractNumId w:val="12"/>
  </w:num>
  <w:num w:numId="16">
    <w:abstractNumId w:val="18"/>
  </w:num>
  <w:num w:numId="17">
    <w:abstractNumId w:val="11"/>
  </w:num>
  <w:num w:numId="18">
    <w:abstractNumId w:val="9"/>
  </w:num>
  <w:num w:numId="19">
    <w:abstractNumId w:val="27"/>
  </w:num>
  <w:num w:numId="20">
    <w:abstractNumId w:val="19"/>
  </w:num>
  <w:num w:numId="21">
    <w:abstractNumId w:val="7"/>
  </w:num>
  <w:num w:numId="22">
    <w:abstractNumId w:val="5"/>
  </w:num>
  <w:num w:numId="23">
    <w:abstractNumId w:val="29"/>
  </w:num>
  <w:num w:numId="24">
    <w:abstractNumId w:val="0"/>
  </w:num>
  <w:num w:numId="25">
    <w:abstractNumId w:val="25"/>
  </w:num>
  <w:num w:numId="26">
    <w:abstractNumId w:val="6"/>
  </w:num>
  <w:num w:numId="27">
    <w:abstractNumId w:val="4"/>
  </w:num>
  <w:num w:numId="28">
    <w:abstractNumId w:val="26"/>
  </w:num>
  <w:num w:numId="29">
    <w:abstractNumId w:val="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0E7E90"/>
    <w:rsid w:val="001322EF"/>
    <w:rsid w:val="001462D3"/>
    <w:rsid w:val="001511FA"/>
    <w:rsid w:val="00253426"/>
    <w:rsid w:val="002A7005"/>
    <w:rsid w:val="00326251"/>
    <w:rsid w:val="00351A76"/>
    <w:rsid w:val="003638E2"/>
    <w:rsid w:val="00382CE2"/>
    <w:rsid w:val="003D4FFA"/>
    <w:rsid w:val="003F4DF9"/>
    <w:rsid w:val="0043773F"/>
    <w:rsid w:val="0046111A"/>
    <w:rsid w:val="00491B4B"/>
    <w:rsid w:val="004F3FC3"/>
    <w:rsid w:val="00525CC8"/>
    <w:rsid w:val="005400CA"/>
    <w:rsid w:val="006118E4"/>
    <w:rsid w:val="00622BBA"/>
    <w:rsid w:val="006A057E"/>
    <w:rsid w:val="00710B7E"/>
    <w:rsid w:val="00775F71"/>
    <w:rsid w:val="007D3362"/>
    <w:rsid w:val="008447F2"/>
    <w:rsid w:val="0089166F"/>
    <w:rsid w:val="008C2D9B"/>
    <w:rsid w:val="00922F41"/>
    <w:rsid w:val="0094512A"/>
    <w:rsid w:val="009C1160"/>
    <w:rsid w:val="009C2EE3"/>
    <w:rsid w:val="009D01A2"/>
    <w:rsid w:val="00A15977"/>
    <w:rsid w:val="00AC031E"/>
    <w:rsid w:val="00AE076C"/>
    <w:rsid w:val="00B765E5"/>
    <w:rsid w:val="00C1442C"/>
    <w:rsid w:val="00C728BC"/>
    <w:rsid w:val="00CE1FA7"/>
    <w:rsid w:val="00CF075E"/>
    <w:rsid w:val="00DF1ADC"/>
    <w:rsid w:val="00E444F8"/>
    <w:rsid w:val="00E45ACE"/>
    <w:rsid w:val="00E75CBD"/>
    <w:rsid w:val="00E81B8D"/>
    <w:rsid w:val="00FA35C7"/>
    <w:rsid w:val="00FC4910"/>
    <w:rsid w:val="00FD662E"/>
    <w:rsid w:val="748E1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8"/>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 w:type="paragraph" w:customStyle="1" w:styleId="259">
    <w:name w:val="三级条标题"/>
    <w:basedOn w:val="249"/>
    <w:next w:val="246"/>
    <w:uiPriority w:val="0"/>
    <w:pPr>
      <w:numPr>
        <w:ilvl w:val="0"/>
        <w:numId w:val="0"/>
      </w:numPr>
      <w:ind w:left="709"/>
      <w:outlineLvl w:val="4"/>
    </w:pPr>
  </w:style>
  <w:style w:type="paragraph" w:customStyle="1" w:styleId="260">
    <w:name w:val="四级条标题"/>
    <w:basedOn w:val="259"/>
    <w:next w:val="246"/>
    <w:uiPriority w:val="0"/>
    <w:pPr>
      <w:ind w:left="0"/>
      <w:outlineLvl w:val="5"/>
    </w:pPr>
  </w:style>
  <w:style w:type="paragraph" w:customStyle="1" w:styleId="261">
    <w:name w:val="五级条标题"/>
    <w:basedOn w:val="260"/>
    <w:next w:val="246"/>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534</Words>
  <Characters>3046</Characters>
  <Lines>25</Lines>
  <Paragraphs>7</Paragraphs>
  <TotalTime>6</TotalTime>
  <ScaleCrop>false</ScaleCrop>
  <LinksUpToDate>false</LinksUpToDate>
  <CharactersWithSpaces>3573</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2024-12-31T10:12:00Z</dcterms:created>
  <dc:creator>Administrator</dc:creator>
  <cp:lastModifiedBy>Administrator</cp:lastModifiedBy>
  <dcterms:modified xsi:type="dcterms:W3CDTF">2025-02-07T01:16:58Z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